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51F14">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Arial Unicode MS" w:cs="Arial"/>
          <w:b/>
          <w:bCs/>
          <w:sz w:val="52"/>
          <w:szCs w:val="52"/>
        </w:rPr>
      </w:pPr>
    </w:p>
    <w:p w14:paraId="7E59588D">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Arial Unicode MS" w:cs="Arial"/>
          <w:b/>
          <w:bCs/>
          <w:sz w:val="52"/>
          <w:szCs w:val="52"/>
        </w:rPr>
      </w:pPr>
    </w:p>
    <w:p w14:paraId="5EC4DEE2">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eastAsia" w:ascii="Arial" w:hAnsi="Arial" w:eastAsia="Arial Unicode MS" w:cs="Arial"/>
          <w:b/>
          <w:bCs/>
          <w:sz w:val="52"/>
          <w:szCs w:val="52"/>
          <w:lang w:val="en-US" w:eastAsia="zh-CN"/>
        </w:rPr>
      </w:pPr>
      <w:r>
        <w:rPr>
          <w:rFonts w:hint="eastAsia" w:ascii="Arial" w:hAnsi="Arial" w:eastAsia="Arial Unicode MS" w:cs="Arial"/>
          <w:b/>
          <w:bCs/>
          <w:sz w:val="52"/>
          <w:szCs w:val="52"/>
          <w:lang w:val="en-US" w:eastAsia="zh-CN"/>
        </w:rPr>
        <w:t xml:space="preserve">HZHF-100 </w:t>
      </w:r>
    </w:p>
    <w:p w14:paraId="28942CA8">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Arial Unicode MS" w:cs="Arial"/>
          <w:b/>
          <w:bCs/>
          <w:sz w:val="52"/>
          <w:szCs w:val="52"/>
          <w:lang w:val="en-US" w:eastAsia="zh-CN"/>
        </w:rPr>
      </w:pPr>
      <w:r>
        <w:rPr>
          <w:rFonts w:hint="default" w:ascii="Arial" w:hAnsi="Arial" w:eastAsia="Arial Unicode MS" w:cs="Arial"/>
          <w:b/>
          <w:bCs/>
          <w:sz w:val="52"/>
          <w:szCs w:val="52"/>
        </w:rPr>
        <w:t>Petroleum Ash Analyzer</w:t>
      </w:r>
    </w:p>
    <w:p w14:paraId="0DC9D9C8">
      <w:pPr>
        <w:spacing w:line="1000" w:lineRule="exact"/>
        <w:jc w:val="center"/>
        <w:rPr>
          <w:rFonts w:hint="default" w:ascii="Times New Roman" w:hAnsi="Times New Roman" w:cs="Times New Roman"/>
          <w:color w:val="000000"/>
          <w:sz w:val="24"/>
          <w:szCs w:val="24"/>
        </w:rPr>
      </w:pPr>
    </w:p>
    <w:p w14:paraId="2738140E">
      <w:pPr>
        <w:spacing w:line="1000" w:lineRule="exact"/>
        <w:jc w:val="center"/>
        <w:rPr>
          <w:rFonts w:hint="default" w:ascii="Times New Roman" w:hAnsi="Times New Roman" w:cs="Times New Roman"/>
          <w:color w:val="000000"/>
          <w:sz w:val="24"/>
          <w:szCs w:val="24"/>
        </w:rPr>
      </w:pPr>
    </w:p>
    <w:p w14:paraId="7B71852D">
      <w:pPr>
        <w:spacing w:line="1000" w:lineRule="exact"/>
        <w:jc w:val="center"/>
        <w:rPr>
          <w:rFonts w:hint="default" w:ascii="Times New Roman" w:hAnsi="Times New Roman" w:cs="Times New Roman"/>
          <w:color w:val="000000"/>
          <w:sz w:val="24"/>
          <w:szCs w:val="24"/>
        </w:rPr>
      </w:pPr>
    </w:p>
    <w:p w14:paraId="48AEF5BD">
      <w:pPr>
        <w:spacing w:line="1000" w:lineRule="exact"/>
        <w:jc w:val="both"/>
        <w:rPr>
          <w:rFonts w:hint="default" w:ascii="Times New Roman" w:hAnsi="Times New Roman" w:cs="Times New Roman"/>
          <w:color w:val="000000"/>
          <w:sz w:val="24"/>
          <w:szCs w:val="24"/>
        </w:rPr>
      </w:pPr>
    </w:p>
    <w:p w14:paraId="7C371DC3">
      <w:pPr>
        <w:spacing w:line="1000" w:lineRule="exact"/>
        <w:jc w:val="both"/>
        <w:rPr>
          <w:rFonts w:hint="default" w:ascii="Calibri" w:hAnsi="Calibri" w:cs="Calibri"/>
          <w:color w:val="000000"/>
          <w:sz w:val="32"/>
          <w:szCs w:val="32"/>
        </w:rPr>
      </w:pPr>
    </w:p>
    <w:p w14:paraId="69443458">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firstLine="0" w:firstLineChars="0"/>
        <w:jc w:val="center"/>
        <w:textAlignment w:val="auto"/>
        <w:outlineLvl w:val="9"/>
        <w:rPr>
          <w:rFonts w:hint="default" w:ascii="Arial" w:hAnsi="Arial" w:eastAsia="Arial Unicode MS" w:cs="Arial"/>
          <w:b/>
          <w:bCs/>
          <w:sz w:val="52"/>
          <w:szCs w:val="52"/>
          <w:lang w:val="en-US" w:eastAsia="zh-CN"/>
        </w:rPr>
      </w:pPr>
      <w:r>
        <w:rPr>
          <w:rFonts w:hint="eastAsia" w:ascii="Arial" w:hAnsi="Arial" w:eastAsia="Arial Unicode MS" w:cs="Arial"/>
          <w:b/>
          <w:bCs/>
          <w:sz w:val="52"/>
          <w:szCs w:val="52"/>
          <w:lang w:val="en-US" w:eastAsia="zh-CN"/>
        </w:rPr>
        <w:t>USER</w:t>
      </w:r>
      <w:r>
        <w:rPr>
          <w:rFonts w:hint="default" w:ascii="Arial" w:hAnsi="Arial" w:eastAsia="Arial Unicode MS" w:cs="Arial"/>
          <w:b/>
          <w:bCs/>
          <w:sz w:val="52"/>
          <w:szCs w:val="52"/>
        </w:rPr>
        <w:t xml:space="preserve"> </w:t>
      </w:r>
      <w:r>
        <w:rPr>
          <w:rFonts w:hint="eastAsia" w:ascii="Arial" w:hAnsi="Arial" w:eastAsia="Arial Unicode MS" w:cs="Arial"/>
          <w:b/>
          <w:bCs/>
          <w:sz w:val="52"/>
          <w:szCs w:val="52"/>
          <w:lang w:val="en-US" w:eastAsia="zh-CN"/>
        </w:rPr>
        <w:t>MANUAL</w:t>
      </w:r>
    </w:p>
    <w:p w14:paraId="6D65C7E7">
      <w:pPr>
        <w:jc w:val="both"/>
        <w:rPr>
          <w:rFonts w:hint="default" w:ascii="Times New Roman" w:hAnsi="Times New Roman" w:cs="Times New Roman"/>
          <w:color w:val="000000"/>
          <w:sz w:val="24"/>
          <w:szCs w:val="24"/>
        </w:rPr>
      </w:pPr>
    </w:p>
    <w:p w14:paraId="2E94356C">
      <w:pPr>
        <w:jc w:val="both"/>
        <w:rPr>
          <w:rFonts w:hint="default" w:ascii="Times New Roman" w:hAnsi="Times New Roman" w:cs="Times New Roman"/>
          <w:color w:val="000000"/>
          <w:sz w:val="24"/>
          <w:szCs w:val="24"/>
        </w:rPr>
      </w:pPr>
    </w:p>
    <w:p w14:paraId="1453A046">
      <w:pPr>
        <w:jc w:val="both"/>
        <w:rPr>
          <w:rFonts w:hint="default" w:ascii="Times New Roman" w:hAnsi="Times New Roman" w:cs="Times New Roman"/>
          <w:color w:val="000000"/>
          <w:sz w:val="24"/>
          <w:szCs w:val="24"/>
        </w:rPr>
      </w:pPr>
    </w:p>
    <w:p w14:paraId="296B04C5">
      <w:pPr>
        <w:jc w:val="both"/>
        <w:rPr>
          <w:rFonts w:hint="default" w:ascii="Times New Roman" w:hAnsi="Times New Roman" w:cs="Times New Roman"/>
          <w:color w:val="000000"/>
          <w:sz w:val="24"/>
          <w:szCs w:val="24"/>
        </w:rPr>
      </w:pPr>
    </w:p>
    <w:p w14:paraId="415C5001">
      <w:pPr>
        <w:jc w:val="both"/>
        <w:rPr>
          <w:rFonts w:hint="default" w:ascii="Times New Roman" w:hAnsi="Times New Roman" w:cs="Times New Roman"/>
          <w:color w:val="000000"/>
          <w:sz w:val="24"/>
          <w:szCs w:val="24"/>
        </w:rPr>
      </w:pPr>
    </w:p>
    <w:p w14:paraId="7DAE960F">
      <w:pPr>
        <w:jc w:val="both"/>
        <w:rPr>
          <w:rFonts w:hint="default" w:ascii="Times New Roman" w:hAnsi="Times New Roman" w:cs="Times New Roman"/>
          <w:b/>
          <w:color w:val="000000"/>
          <w:sz w:val="24"/>
          <w:szCs w:val="24"/>
        </w:rPr>
      </w:pPr>
    </w:p>
    <w:p w14:paraId="1078C366">
      <w:pPr>
        <w:jc w:val="both"/>
        <w:rPr>
          <w:rFonts w:hint="default" w:ascii="Times New Roman" w:hAnsi="Times New Roman" w:cs="Times New Roman"/>
          <w:b/>
          <w:color w:val="000000"/>
          <w:sz w:val="24"/>
          <w:szCs w:val="24"/>
        </w:rPr>
      </w:pPr>
    </w:p>
    <w:p w14:paraId="73D36B94">
      <w:pPr>
        <w:jc w:val="both"/>
        <w:rPr>
          <w:rFonts w:hint="default" w:ascii="Times New Roman" w:hAnsi="Times New Roman" w:cs="Times New Roman"/>
          <w:b/>
          <w:color w:val="000000"/>
          <w:sz w:val="24"/>
          <w:szCs w:val="24"/>
        </w:rPr>
      </w:pPr>
    </w:p>
    <w:p w14:paraId="7BFABCEE">
      <w:pPr>
        <w:jc w:val="both"/>
        <w:rPr>
          <w:rFonts w:hint="default" w:ascii="Times New Roman" w:hAnsi="Times New Roman" w:cs="Times New Roman"/>
          <w:b/>
          <w:color w:val="000000"/>
          <w:sz w:val="24"/>
          <w:szCs w:val="24"/>
        </w:rPr>
      </w:pPr>
    </w:p>
    <w:p w14:paraId="79E2FAE0">
      <w:pPr>
        <w:jc w:val="both"/>
        <w:rPr>
          <w:rFonts w:hint="default" w:ascii="Times New Roman" w:hAnsi="Times New Roman" w:cs="Times New Roman"/>
          <w:b/>
          <w:color w:val="000000"/>
          <w:sz w:val="24"/>
          <w:szCs w:val="24"/>
        </w:rPr>
      </w:pPr>
    </w:p>
    <w:p w14:paraId="641F4A9D">
      <w:pPr>
        <w:jc w:val="both"/>
        <w:rPr>
          <w:rFonts w:hint="default" w:ascii="Times New Roman" w:hAnsi="Times New Roman" w:cs="Times New Roman"/>
          <w:b/>
          <w:color w:val="000000"/>
          <w:sz w:val="24"/>
          <w:szCs w:val="24"/>
        </w:rPr>
      </w:pPr>
    </w:p>
    <w:p w14:paraId="09A78B7B">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14:paraId="47C14919">
      <w:pPr>
        <w:spacing w:line="480" w:lineRule="auto"/>
        <w:ind w:left="0" w:leftChars="0"/>
        <w:jc w:val="center"/>
        <w:rPr>
          <w:rFonts w:hint="default" w:ascii="Arial" w:hAnsi="Arial" w:cs="Arial"/>
          <w:b/>
          <w:bCs/>
          <w:iCs/>
          <w:sz w:val="28"/>
          <w:szCs w:val="28"/>
        </w:rPr>
      </w:pPr>
    </w:p>
    <w:p w14:paraId="52125EE5">
      <w:pPr>
        <w:spacing w:line="480" w:lineRule="auto"/>
        <w:ind w:left="0" w:leftChars="0"/>
        <w:jc w:val="center"/>
        <w:rPr>
          <w:rFonts w:hint="default" w:ascii="Arial" w:hAnsi="Arial" w:cs="Arial"/>
          <w:b/>
          <w:bCs/>
          <w:iCs/>
          <w:sz w:val="28"/>
          <w:szCs w:val="28"/>
        </w:rPr>
      </w:pPr>
    </w:p>
    <w:p w14:paraId="49BBB76E">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1EA881CF">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14:paraId="25B688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51C786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Thank you for choosing HZHF-100 Petroleum Ash Analyzer.</w:t>
      </w:r>
    </w:p>
    <w:p w14:paraId="1FBCCB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19A7BA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2909DE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26E8B1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7D3F79FD">
      <w:pPr>
        <w:spacing w:before="0" w:beforeLines="0" w:after="0" w:afterLines="0" w:line="240" w:lineRule="auto"/>
        <w:ind w:left="0" w:leftChars="0" w:right="0" w:rightChars="0" w:firstLine="0" w:firstLineChars="0"/>
        <w:jc w:val="center"/>
        <w:rPr>
          <w:rFonts w:hint="default" w:ascii="Arial" w:hAnsi="Arial" w:cs="Arial"/>
          <w:b/>
          <w:bCs/>
          <w:sz w:val="32"/>
          <w:szCs w:val="32"/>
        </w:rPr>
      </w:pPr>
      <w:r>
        <w:rPr>
          <w:rFonts w:hint="default" w:ascii="Arial" w:hAnsi="Arial" w:cs="Arial"/>
          <w:b/>
          <w:bCs/>
          <w:sz w:val="32"/>
          <w:szCs w:val="32"/>
        </w:rPr>
        <w:t>Contents</w:t>
      </w:r>
    </w:p>
    <w:p w14:paraId="3E145FD7">
      <w:pPr>
        <w:spacing w:before="0" w:beforeLines="0" w:after="0" w:afterLines="0" w:line="240" w:lineRule="auto"/>
        <w:ind w:left="0" w:leftChars="0" w:right="0" w:rightChars="0" w:firstLine="0" w:firstLineChars="0"/>
        <w:jc w:val="center"/>
        <w:rPr>
          <w:rFonts w:hint="default" w:ascii="Arial" w:hAnsi="Arial" w:cs="Arial"/>
          <w:b/>
          <w:bCs/>
          <w:sz w:val="32"/>
          <w:szCs w:val="32"/>
        </w:rPr>
      </w:pPr>
    </w:p>
    <w:p w14:paraId="75066F4D">
      <w:pPr>
        <w:pStyle w:val="6"/>
        <w:tabs>
          <w:tab w:val="right" w:leader="dot" w:pos="8306"/>
          <w:tab w:val="clear" w:pos="9214"/>
        </w:tabs>
        <w:spacing w:line="480" w:lineRule="auto"/>
        <w:rPr>
          <w:rFonts w:hint="default" w:ascii="Arial" w:hAnsi="Arial" w:cs="Arial"/>
        </w:rPr>
      </w:pPr>
      <w:r>
        <w:rPr>
          <w:rFonts w:hint="default" w:ascii="Arial" w:hAnsi="Arial" w:cs="Arial"/>
          <w:sz w:val="21"/>
          <w:szCs w:val="21"/>
        </w:rPr>
        <w:fldChar w:fldCharType="begin"/>
      </w:r>
      <w:r>
        <w:rPr>
          <w:rFonts w:hint="default" w:ascii="Arial" w:hAnsi="Arial" w:cs="Arial"/>
          <w:sz w:val="21"/>
          <w:szCs w:val="21"/>
        </w:rPr>
        <w:instrText xml:space="preserve">TOC \o "1-1" \h \u </w:instrText>
      </w:r>
      <w:r>
        <w:rPr>
          <w:rFonts w:hint="default" w:ascii="Arial" w:hAnsi="Arial" w:cs="Arial"/>
          <w:sz w:val="21"/>
          <w:szCs w:val="21"/>
        </w:rPr>
        <w:fldChar w:fldCharType="separate"/>
      </w:r>
      <w:r>
        <w:rPr>
          <w:rFonts w:hint="default" w:ascii="Arial" w:hAnsi="Arial" w:cs="Arial"/>
          <w:szCs w:val="21"/>
        </w:rPr>
        <w:fldChar w:fldCharType="begin"/>
      </w:r>
      <w:r>
        <w:rPr>
          <w:rFonts w:hint="default" w:ascii="Arial" w:hAnsi="Arial" w:cs="Arial"/>
          <w:szCs w:val="21"/>
        </w:rPr>
        <w:instrText xml:space="preserve"> HYPERLINK \l _Toc16818 </w:instrText>
      </w:r>
      <w:r>
        <w:rPr>
          <w:rFonts w:hint="default" w:ascii="Arial" w:hAnsi="Arial" w:cs="Arial"/>
          <w:szCs w:val="21"/>
        </w:rPr>
        <w:fldChar w:fldCharType="separate"/>
      </w:r>
      <w:r>
        <w:rPr>
          <w:rFonts w:hint="default" w:ascii="Arial" w:hAnsi="Arial" w:cs="Arial"/>
          <w:szCs w:val="32"/>
        </w:rPr>
        <w:t>I</w:t>
      </w:r>
      <w:r>
        <w:rPr>
          <w:rFonts w:hint="default" w:ascii="Arial" w:hAnsi="Arial" w:cs="Arial"/>
          <w:szCs w:val="32"/>
          <w:lang w:val="en-US" w:eastAsia="zh-CN"/>
        </w:rPr>
        <w:t>. Purpose and Scope of Application</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_Toc16818 \h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cs="Arial"/>
          <w:szCs w:val="21"/>
        </w:rPr>
        <w:fldChar w:fldCharType="end"/>
      </w:r>
    </w:p>
    <w:p w14:paraId="3A3432F9">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_Toc12963 </w:instrText>
      </w:r>
      <w:r>
        <w:rPr>
          <w:rFonts w:hint="default" w:ascii="Arial" w:hAnsi="Arial" w:cs="Arial"/>
          <w:szCs w:val="21"/>
        </w:rPr>
        <w:fldChar w:fldCharType="separate"/>
      </w:r>
      <w:r>
        <w:rPr>
          <w:rFonts w:hint="default" w:ascii="Arial" w:hAnsi="Arial" w:eastAsia="宋体" w:cs="Arial"/>
          <w:szCs w:val="32"/>
          <w:lang w:val="en-US" w:eastAsia="zh-CN"/>
        </w:rPr>
        <w:t>II. Performance Characteristics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_Toc12963 \h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cs="Arial"/>
          <w:szCs w:val="21"/>
        </w:rPr>
        <w:fldChar w:fldCharType="end"/>
      </w:r>
    </w:p>
    <w:p w14:paraId="5CC508DF">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_Toc17312 </w:instrText>
      </w:r>
      <w:r>
        <w:rPr>
          <w:rFonts w:hint="default" w:ascii="Arial" w:hAnsi="Arial" w:cs="Arial"/>
          <w:szCs w:val="21"/>
        </w:rPr>
        <w:fldChar w:fldCharType="separate"/>
      </w:r>
      <w:r>
        <w:rPr>
          <w:rFonts w:hint="default" w:ascii="Arial" w:hAnsi="Arial" w:eastAsia="宋体" w:cs="Arial"/>
          <w:szCs w:val="32"/>
          <w:lang w:val="en-US" w:eastAsia="zh-CN"/>
        </w:rPr>
        <w:t>III. Main Technical Indicators And Parameters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_Toc17312 \h </w:instrText>
      </w:r>
      <w:r>
        <w:rPr>
          <w:rFonts w:hint="default" w:ascii="Arial" w:hAnsi="Arial" w:cs="Arial"/>
        </w:rPr>
        <w:fldChar w:fldCharType="separate"/>
      </w:r>
      <w:r>
        <w:rPr>
          <w:rFonts w:hint="default" w:ascii="Arial" w:hAnsi="Arial" w:cs="Arial"/>
        </w:rPr>
        <w:t>2</w:t>
      </w:r>
      <w:r>
        <w:rPr>
          <w:rFonts w:hint="default" w:ascii="Arial" w:hAnsi="Arial" w:cs="Arial"/>
        </w:rPr>
        <w:fldChar w:fldCharType="end"/>
      </w:r>
      <w:r>
        <w:rPr>
          <w:rFonts w:hint="default" w:ascii="Arial" w:hAnsi="Arial" w:cs="Arial"/>
          <w:szCs w:val="21"/>
        </w:rPr>
        <w:fldChar w:fldCharType="end"/>
      </w:r>
    </w:p>
    <w:p w14:paraId="266968EB">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_Toc169 </w:instrText>
      </w:r>
      <w:r>
        <w:rPr>
          <w:rFonts w:hint="default" w:ascii="Arial" w:hAnsi="Arial" w:cs="Arial"/>
          <w:szCs w:val="21"/>
        </w:rPr>
        <w:fldChar w:fldCharType="separate"/>
      </w:r>
      <w:r>
        <w:rPr>
          <w:rFonts w:hint="default" w:ascii="Arial" w:hAnsi="Arial" w:eastAsia="宋体" w:cs="Arial"/>
          <w:szCs w:val="32"/>
          <w:lang w:val="en-US" w:eastAsia="zh-CN"/>
        </w:rPr>
        <w:t>IV. Main Structure And Instrument Usage Method</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_Toc169 \h </w:instrText>
      </w:r>
      <w:r>
        <w:rPr>
          <w:rFonts w:hint="default" w:ascii="Arial" w:hAnsi="Arial" w:cs="Arial"/>
        </w:rPr>
        <w:fldChar w:fldCharType="separate"/>
      </w:r>
      <w:r>
        <w:rPr>
          <w:rFonts w:hint="default" w:ascii="Arial" w:hAnsi="Arial" w:cs="Arial"/>
        </w:rPr>
        <w:t>2</w:t>
      </w:r>
      <w:r>
        <w:rPr>
          <w:rFonts w:hint="default" w:ascii="Arial" w:hAnsi="Arial" w:cs="Arial"/>
        </w:rPr>
        <w:fldChar w:fldCharType="end"/>
      </w:r>
      <w:r>
        <w:rPr>
          <w:rFonts w:hint="default" w:ascii="Arial" w:hAnsi="Arial" w:cs="Arial"/>
          <w:szCs w:val="21"/>
        </w:rPr>
        <w:fldChar w:fldCharType="end"/>
      </w:r>
    </w:p>
    <w:p w14:paraId="2C337DFE">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_Toc26430 </w:instrText>
      </w:r>
      <w:r>
        <w:rPr>
          <w:rFonts w:hint="default" w:ascii="Arial" w:hAnsi="Arial" w:cs="Arial"/>
          <w:szCs w:val="21"/>
        </w:rPr>
        <w:fldChar w:fldCharType="separate"/>
      </w:r>
      <w:r>
        <w:rPr>
          <w:rFonts w:hint="default" w:ascii="Arial" w:hAnsi="Arial" w:eastAsia="宋体" w:cs="Arial"/>
          <w:szCs w:val="32"/>
          <w:lang w:val="en-US" w:eastAsia="zh-CN"/>
        </w:rPr>
        <w:t>V. Reparation Work And Experimental Steps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_Toc26430 \h </w:instrText>
      </w:r>
      <w:r>
        <w:rPr>
          <w:rFonts w:hint="default" w:ascii="Arial" w:hAnsi="Arial" w:cs="Arial"/>
        </w:rPr>
        <w:fldChar w:fldCharType="separate"/>
      </w:r>
      <w:r>
        <w:rPr>
          <w:rFonts w:hint="default" w:ascii="Arial" w:hAnsi="Arial" w:cs="Arial"/>
        </w:rPr>
        <w:t>3</w:t>
      </w:r>
      <w:r>
        <w:rPr>
          <w:rFonts w:hint="default" w:ascii="Arial" w:hAnsi="Arial" w:cs="Arial"/>
        </w:rPr>
        <w:fldChar w:fldCharType="end"/>
      </w:r>
      <w:r>
        <w:rPr>
          <w:rFonts w:hint="default" w:ascii="Arial" w:hAnsi="Arial" w:cs="Arial"/>
          <w:szCs w:val="21"/>
        </w:rPr>
        <w:fldChar w:fldCharType="end"/>
      </w:r>
    </w:p>
    <w:p w14:paraId="2F44BB58">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_Toc20829 </w:instrText>
      </w:r>
      <w:r>
        <w:rPr>
          <w:rFonts w:hint="default" w:ascii="Arial" w:hAnsi="Arial" w:cs="Arial"/>
          <w:szCs w:val="21"/>
        </w:rPr>
        <w:fldChar w:fldCharType="separate"/>
      </w:r>
      <w:r>
        <w:rPr>
          <w:rFonts w:hint="default" w:ascii="Arial" w:hAnsi="Arial" w:eastAsia="宋体" w:cs="Arial"/>
          <w:szCs w:val="32"/>
          <w:lang w:val="en-US" w:eastAsia="zh-CN"/>
        </w:rPr>
        <w:t>VI. Maintenance And Precautions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_Toc20829 \h </w:instrText>
      </w:r>
      <w:r>
        <w:rPr>
          <w:rFonts w:hint="default" w:ascii="Arial" w:hAnsi="Arial" w:cs="Arial"/>
        </w:rPr>
        <w:fldChar w:fldCharType="separate"/>
      </w:r>
      <w:r>
        <w:rPr>
          <w:rFonts w:hint="default" w:ascii="Arial" w:hAnsi="Arial" w:cs="Arial"/>
        </w:rPr>
        <w:t>5</w:t>
      </w:r>
      <w:r>
        <w:rPr>
          <w:rFonts w:hint="default" w:ascii="Arial" w:hAnsi="Arial" w:cs="Arial"/>
        </w:rPr>
        <w:fldChar w:fldCharType="end"/>
      </w:r>
      <w:r>
        <w:rPr>
          <w:rFonts w:hint="default" w:ascii="Arial" w:hAnsi="Arial" w:cs="Arial"/>
          <w:szCs w:val="21"/>
        </w:rPr>
        <w:fldChar w:fldCharType="end"/>
      </w:r>
    </w:p>
    <w:p w14:paraId="24C49DD3">
      <w:pPr>
        <w:pStyle w:val="6"/>
        <w:tabs>
          <w:tab w:val="right" w:leader="dot" w:pos="8306"/>
          <w:tab w:val="clear" w:pos="9214"/>
        </w:tabs>
        <w:spacing w:line="480" w:lineRule="auto"/>
        <w:rPr>
          <w:rFonts w:hint="default" w:ascii="Arial" w:hAnsi="Arial" w:cs="Arial"/>
        </w:rPr>
      </w:pPr>
      <w:r>
        <w:rPr>
          <w:rFonts w:hint="default" w:ascii="Arial" w:hAnsi="Arial" w:cs="Arial"/>
          <w:szCs w:val="21"/>
        </w:rPr>
        <w:fldChar w:fldCharType="begin"/>
      </w:r>
      <w:r>
        <w:rPr>
          <w:rFonts w:hint="default" w:ascii="Arial" w:hAnsi="Arial" w:cs="Arial"/>
          <w:szCs w:val="21"/>
        </w:rPr>
        <w:instrText xml:space="preserve"> HYPERLINK \l _Toc5274 </w:instrText>
      </w:r>
      <w:r>
        <w:rPr>
          <w:rFonts w:hint="default" w:ascii="Arial" w:hAnsi="Arial" w:cs="Arial"/>
          <w:szCs w:val="21"/>
        </w:rPr>
        <w:fldChar w:fldCharType="separate"/>
      </w:r>
      <w:r>
        <w:rPr>
          <w:rFonts w:hint="default" w:ascii="Arial" w:hAnsi="Arial" w:cs="Arial"/>
          <w:szCs w:val="32"/>
          <w:lang w:val="en-US" w:eastAsia="zh-CN"/>
        </w:rPr>
        <w:t xml:space="preserve">VII. </w:t>
      </w:r>
      <w:r>
        <w:rPr>
          <w:rFonts w:hint="default" w:ascii="Arial" w:hAnsi="Arial" w:cs="Arial"/>
          <w:szCs w:val="32"/>
        </w:rPr>
        <w:t>Packing List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_Toc5274 \h </w:instrText>
      </w:r>
      <w:r>
        <w:rPr>
          <w:rFonts w:hint="default" w:ascii="Arial" w:hAnsi="Arial" w:cs="Arial"/>
        </w:rPr>
        <w:fldChar w:fldCharType="separate"/>
      </w:r>
      <w:r>
        <w:rPr>
          <w:rFonts w:hint="default" w:ascii="Arial" w:hAnsi="Arial" w:cs="Arial"/>
        </w:rPr>
        <w:t>6</w:t>
      </w:r>
      <w:r>
        <w:rPr>
          <w:rFonts w:hint="default" w:ascii="Arial" w:hAnsi="Arial" w:cs="Arial"/>
        </w:rPr>
        <w:fldChar w:fldCharType="end"/>
      </w:r>
      <w:r>
        <w:rPr>
          <w:rFonts w:hint="default" w:ascii="Arial" w:hAnsi="Arial" w:cs="Arial"/>
          <w:szCs w:val="21"/>
        </w:rPr>
        <w:fldChar w:fldCharType="end"/>
      </w:r>
    </w:p>
    <w:p w14:paraId="6C3C53E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jc w:val="both"/>
        <w:textAlignment w:val="auto"/>
        <w:outlineLvl w:val="9"/>
        <w:rPr>
          <w:sz w:val="24"/>
        </w:rPr>
      </w:pPr>
      <w:r>
        <w:rPr>
          <w:rFonts w:hint="default" w:ascii="Arial" w:hAnsi="Arial" w:cs="Arial"/>
          <w:szCs w:val="21"/>
        </w:rPr>
        <w:fldChar w:fldCharType="end"/>
      </w:r>
    </w:p>
    <w:p w14:paraId="3251F4C3">
      <w:pPr>
        <w:jc w:val="center"/>
        <w:rPr>
          <w:rFonts w:hint="eastAsia"/>
          <w:b/>
          <w:bCs/>
          <w:iCs/>
          <w:kern w:val="0"/>
          <w:sz w:val="32"/>
          <w:szCs w:val="32"/>
        </w:rPr>
      </w:pPr>
    </w:p>
    <w:p w14:paraId="452C0FCC">
      <w:pPr>
        <w:spacing w:before="0" w:beforeLines="0" w:after="0" w:afterLines="0" w:line="240" w:lineRule="auto"/>
        <w:ind w:left="0" w:leftChars="0" w:right="0" w:rightChars="0" w:firstLine="0" w:firstLineChars="0"/>
        <w:jc w:val="center"/>
        <w:rPr>
          <w:rFonts w:hint="default" w:ascii="Arial" w:hAnsi="Arial" w:cs="Arial"/>
          <w:b/>
          <w:bCs/>
          <w:sz w:val="32"/>
          <w:szCs w:val="32"/>
        </w:rPr>
      </w:pPr>
    </w:p>
    <w:p w14:paraId="5EC4136A">
      <w:pPr>
        <w:jc w:val="both"/>
        <w:rPr>
          <w:rFonts w:hint="eastAsia"/>
          <w:sz w:val="28"/>
        </w:rPr>
        <w:sectPr>
          <w:headerReference r:id="rId12" w:type="first"/>
          <w:footerReference r:id="rId14" w:type="first"/>
          <w:headerReference r:id="rId11"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140F393">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1" w:name="_Toc16818"/>
      <w:r>
        <w:rPr>
          <w:rFonts w:hint="default" w:ascii="Arial" w:hAnsi="Arial" w:cs="Arial"/>
          <w:sz w:val="32"/>
          <w:szCs w:val="32"/>
          <w:lang w:val="en-US" w:eastAsia="zh-CN"/>
        </w:rPr>
        <w:fldChar w:fldCharType="begin"/>
      </w:r>
      <w:r>
        <w:rPr>
          <w:rFonts w:hint="default" w:ascii="Arial" w:hAnsi="Arial" w:cs="Arial"/>
          <w:sz w:val="32"/>
          <w:szCs w:val="32"/>
          <w:lang w:val="en-US" w:eastAsia="zh-CN"/>
        </w:rPr>
        <w:instrText xml:space="preserve"> = 1 \* ROMAN \* MERGEFORMAT </w:instrText>
      </w:r>
      <w:r>
        <w:rPr>
          <w:rFonts w:hint="default" w:ascii="Arial" w:hAnsi="Arial" w:cs="Arial"/>
          <w:sz w:val="32"/>
          <w:szCs w:val="32"/>
          <w:lang w:val="en-US" w:eastAsia="zh-CN"/>
        </w:rPr>
        <w:fldChar w:fldCharType="separate"/>
      </w:r>
      <w:r>
        <w:rPr>
          <w:rFonts w:hint="default" w:ascii="Arial" w:hAnsi="Arial" w:cs="Arial"/>
          <w:sz w:val="32"/>
          <w:szCs w:val="32"/>
        </w:rPr>
        <w:t>I</w:t>
      </w:r>
      <w:r>
        <w:rPr>
          <w:rFonts w:hint="default" w:ascii="Arial" w:hAnsi="Arial" w:cs="Arial"/>
          <w:sz w:val="32"/>
          <w:szCs w:val="32"/>
          <w:lang w:val="en-US" w:eastAsia="zh-CN"/>
        </w:rPr>
        <w:fldChar w:fldCharType="end"/>
      </w:r>
      <w:r>
        <w:rPr>
          <w:rFonts w:hint="eastAsia" w:ascii="Arial" w:hAnsi="Arial" w:cs="Arial"/>
          <w:sz w:val="32"/>
          <w:szCs w:val="32"/>
          <w:lang w:val="en-US" w:eastAsia="zh-CN"/>
        </w:rPr>
        <w:t>.</w:t>
      </w:r>
      <w:r>
        <w:rPr>
          <w:rFonts w:hint="default" w:ascii="Arial" w:hAnsi="Arial" w:cs="Arial"/>
          <w:sz w:val="32"/>
          <w:szCs w:val="32"/>
          <w:lang w:val="en-US" w:eastAsia="zh-CN"/>
        </w:rPr>
        <w:t xml:space="preserve"> Purpose and Scope of Application</w:t>
      </w:r>
      <w:bookmarkEnd w:id="1"/>
    </w:p>
    <w:p w14:paraId="186D58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rPr>
      </w:pPr>
      <w:r>
        <w:rPr>
          <w:rFonts w:hint="default" w:ascii="Arial" w:hAnsi="Arial" w:cs="Arial"/>
          <w:sz w:val="21"/>
          <w:szCs w:val="21"/>
          <w:lang w:val="en-US" w:eastAsia="zh-CN"/>
        </w:rPr>
        <w:t>HZHF-100 petroleum product ash analyzer is designed and manufactured in accordance with the requirements specified in the Chinese standard GB/T 508 "Determination of Ash Content in Petroleum Products", and is suitable for determining the ash content of petroleum products according to the method specified in GB/T508. However, this instrument is not suitable for the determination of ash content in petroleum products containing raw ash additives (including certain phosphorus containing compounds), lubricating oils containing lead, and used engine crankcase oils.</w:t>
      </w:r>
    </w:p>
    <w:p w14:paraId="630DC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rPr>
      </w:pPr>
      <w:r>
        <w:rPr>
          <w:rFonts w:hint="default" w:ascii="Arial" w:hAnsi="Arial" w:cs="Arial"/>
          <w:sz w:val="21"/>
          <w:szCs w:val="21"/>
          <w:lang w:val="en-US" w:eastAsia="zh-CN"/>
        </w:rPr>
        <w:t>The summary of the ash content test method is to use ash free filter paper as the ignition core, ignite the sample placed in the crucible, and burn it until only ash content and residual carbon remain. The carbonaceous residue is then heated and converted into ash in a 775 ℃ high-temperature furnace, cooled, and weighed.</w:t>
      </w:r>
    </w:p>
    <w:p w14:paraId="2CA65682">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cs="Arial"/>
          <w:sz w:val="21"/>
          <w:szCs w:val="21"/>
        </w:rPr>
      </w:pPr>
      <w:bookmarkStart w:id="2" w:name="_Toc12963"/>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2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II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Performance </w:t>
      </w:r>
      <w:r>
        <w:rPr>
          <w:rFonts w:hint="eastAsia" w:ascii="Arial" w:hAnsi="Arial" w:eastAsia="宋体" w:cs="Arial"/>
          <w:b/>
          <w:sz w:val="32"/>
          <w:szCs w:val="32"/>
          <w:lang w:val="en-US" w:eastAsia="zh-CN"/>
        </w:rPr>
        <w:t>C</w:t>
      </w:r>
      <w:r>
        <w:rPr>
          <w:rFonts w:hint="default" w:ascii="Arial" w:hAnsi="Arial" w:eastAsia="宋体" w:cs="Arial"/>
          <w:b/>
          <w:sz w:val="32"/>
          <w:szCs w:val="32"/>
          <w:lang w:val="en-US" w:eastAsia="zh-CN"/>
        </w:rPr>
        <w:t>haracteristics</w:t>
      </w:r>
      <w:bookmarkEnd w:id="2"/>
    </w:p>
    <w:p w14:paraId="787C0D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1. The furnace adopts a ceramic fiber structure, which is light in weight, has low heat melting, and has low empty furnace losses, saving more than 70% energy.</w:t>
      </w:r>
    </w:p>
    <w:p w14:paraId="299A2A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2. The heating rate is fast. It only takes about 15-35 minutes to raise the room temperature to 1000 ℃.</w:t>
      </w:r>
    </w:p>
    <w:p w14:paraId="4D7CEA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3. Adopting intelligent P I. D instrument has functions such as self-tuning, temperature error correction, timing, and over temperature alarm. Easy to operate, precise, reliable, and safe temperature control.</w:t>
      </w:r>
    </w:p>
    <w:p w14:paraId="53FE4E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4. Unique power-off function when opening the door. After the furnace door is opened, the equipment automatically disconnects the heating power supply to ensure the safety of the operator.</w:t>
      </w:r>
    </w:p>
    <w:p w14:paraId="4139FB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 Double layered structure and interlayer air convection are used at the box door to ensure low temperature on the outer layer.</w:t>
      </w:r>
    </w:p>
    <w:p w14:paraId="61A486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6. Overtemperature power-off function. Prevent excessive temperature from damaging the sample and ensuring its safety.</w:t>
      </w:r>
    </w:p>
    <w:p w14:paraId="22A280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bCs/>
          <w:sz w:val="21"/>
          <w:szCs w:val="21"/>
          <w:lang w:eastAsia="zh-CN"/>
        </w:rPr>
      </w:pPr>
    </w:p>
    <w:p w14:paraId="47B920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bCs/>
          <w:sz w:val="21"/>
          <w:szCs w:val="21"/>
          <w:lang w:eastAsia="zh-CN"/>
        </w:rPr>
      </w:pPr>
    </w:p>
    <w:p w14:paraId="168AC99D">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cs="Arial"/>
          <w:sz w:val="21"/>
          <w:szCs w:val="21"/>
          <w:lang w:eastAsia="zh-CN"/>
        </w:rPr>
      </w:pPr>
      <w:bookmarkStart w:id="3" w:name="_Toc17312"/>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3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III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Main Technical Indicators And Parameters</w:t>
      </w:r>
      <w:bookmarkEnd w:id="3"/>
    </w:p>
    <w:p w14:paraId="0E54C9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1. Working power supply: AC220V ± 10%; 50Hz.</w:t>
      </w:r>
    </w:p>
    <w:p w14:paraId="10CFD6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2. Ceramic fiber ash furnace: capable of reaching 1000 ℃, with experimental requirements for a temperature of 775 ± 25 ℃.</w:t>
      </w:r>
    </w:p>
    <w:p w14:paraId="06B72E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lang w:eastAsia="zh-CN"/>
        </w:rPr>
      </w:pPr>
      <w:r>
        <w:rPr>
          <w:rFonts w:hint="default" w:ascii="Arial" w:hAnsi="Arial" w:cs="Arial"/>
          <w:sz w:val="21"/>
          <w:szCs w:val="21"/>
          <w:lang w:eastAsia="zh-CN"/>
        </w:rPr>
        <w:t>3. Electric heating plate: Heating power of 1000W.      </w:t>
      </w:r>
    </w:p>
    <w:p w14:paraId="3F4B85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bCs/>
          <w:sz w:val="21"/>
          <w:szCs w:val="21"/>
          <w:lang w:eastAsia="zh-CN"/>
        </w:rPr>
      </w:pPr>
      <w:r>
        <w:rPr>
          <w:rFonts w:hint="default" w:ascii="Arial" w:hAnsi="Arial" w:cs="Arial"/>
          <w:sz w:val="21"/>
          <w:szCs w:val="21"/>
          <w:lang w:eastAsia="zh-CN"/>
        </w:rPr>
        <w:t>4. Porcelain crucible: 50ml.  </w:t>
      </w:r>
      <w:r>
        <w:rPr>
          <w:rFonts w:hint="default" w:ascii="Arial" w:hAnsi="Arial" w:eastAsia="宋体" w:cs="Arial"/>
          <w:b/>
          <w:bCs/>
          <w:sz w:val="21"/>
          <w:szCs w:val="21"/>
          <w:lang w:eastAsia="zh-CN"/>
        </w:rPr>
        <w:t> </w:t>
      </w:r>
    </w:p>
    <w:p w14:paraId="5EE89C5C">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4" w:name="_Toc169"/>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4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IV</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Main Structure And Instrument Usage Method</w:t>
      </w:r>
      <w:bookmarkEnd w:id="4"/>
    </w:p>
    <w:p w14:paraId="1B0FAD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Usage method of temperature control instrument for petroleum ash furnace</w:t>
      </w:r>
    </w:p>
    <w:p w14:paraId="2492C9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1. Connect the power supply, turn on the power switch, and the indicator light will turn on, indicating that it has entered the working state. The instrument displays the studio temperature, and then adjust the temperature control instrument to the desired temperature. The studio starts heating up, and the green light on the temperature control instrument (OUT light) indicates power on heating. If it goes out, it indicates power-off insulation. If it lights up and goes out, it indicates entering a constant temperature state or proportional band. After the instrument is kept at a constant temperature for about 30 minutes, the temperature displayed on the instrument is basically consistent with the set temperature.</w:t>
      </w:r>
    </w:p>
    <w:p w14:paraId="11AF19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Note: After the first use or prolonged disuse, follow the instructions to dry the oven.</w:t>
      </w:r>
    </w:p>
    <w:p w14:paraId="017EFA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The drying time for a resistance furnace with a maximum temperature of 1000 ℃ is as follows:</w:t>
      </w:r>
    </w:p>
    <w:p w14:paraId="03FA16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Room temperature -200 ℃ 4h 200 ℃ -600 ℃ 4h</w:t>
      </w:r>
    </w:p>
    <w:p w14:paraId="4DAE97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drawing>
          <wp:anchor distT="0" distB="0" distL="114300" distR="114300" simplePos="0" relativeHeight="251659264" behindDoc="0" locked="0" layoutInCell="1" allowOverlap="1">
            <wp:simplePos x="0" y="0"/>
            <wp:positionH relativeFrom="column">
              <wp:posOffset>2905125</wp:posOffset>
            </wp:positionH>
            <wp:positionV relativeFrom="paragraph">
              <wp:posOffset>259715</wp:posOffset>
            </wp:positionV>
            <wp:extent cx="2066925" cy="174307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2066925" cy="1743075"/>
                    </a:xfrm>
                    <a:prstGeom prst="rect">
                      <a:avLst/>
                    </a:prstGeom>
                    <a:noFill/>
                    <a:ln>
                      <a:noFill/>
                    </a:ln>
                  </pic:spPr>
                </pic:pic>
              </a:graphicData>
            </a:graphic>
          </wp:anchor>
        </w:drawing>
      </w:r>
      <w:r>
        <w:rPr>
          <w:rFonts w:hint="default" w:ascii="Arial" w:hAnsi="Arial" w:eastAsia="宋体" w:cs="Arial"/>
          <w:kern w:val="2"/>
          <w:sz w:val="21"/>
          <w:szCs w:val="21"/>
          <w:lang w:val="en-US" w:eastAsia="zh-CN" w:bidi="ar-SA"/>
        </w:rPr>
        <w:t>2.</w:t>
      </w:r>
      <w:r>
        <w:rPr>
          <w:rFonts w:hint="default" w:ascii="Arial" w:hAnsi="Arial" w:eastAsia="宋体" w:cs="Arial"/>
          <w:sz w:val="21"/>
          <w:szCs w:val="21"/>
        </w:rPr>
        <w:t>Intelligent instrument operation method:</w:t>
      </w:r>
    </w:p>
    <w:p w14:paraId="1A2624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1. Function keys (SET)</w:t>
      </w:r>
    </w:p>
    <w:p w14:paraId="540C03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2. Shift key (move one position to the left)</w:t>
      </w:r>
    </w:p>
    <w:p w14:paraId="0FFA30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3. Reduce key</w:t>
      </w:r>
    </w:p>
    <w:p w14:paraId="65F87C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4. Add key</w:t>
      </w:r>
    </w:p>
    <w:p w14:paraId="4A452A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5. Heating indicator light</w:t>
      </w:r>
    </w:p>
    <w:p w14:paraId="057D1A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6. Self setting indicator light</w:t>
      </w:r>
    </w:p>
    <w:p w14:paraId="58369C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7. Upper limit alarm indicator light</w:t>
      </w:r>
    </w:p>
    <w:p w14:paraId="3F70D3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8. Set value display window</w:t>
      </w:r>
    </w:p>
    <w:p w14:paraId="3F5E12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9. Measurement value display window</w:t>
      </w:r>
    </w:p>
    <w:p w14:paraId="6247D9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(1) Temperature setting and constant temperature operation time setting:</w:t>
      </w:r>
    </w:p>
    <w:p w14:paraId="6DB736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Press the SET button once, the PV displays SO, and the SV displays the set temperature. Set the desired temperature using the ▲ and ▼ keys. After setting, press the SET button again. The PV displays TI, and the SV displays the constant temperature time (in minutes). Set the desired constant temperature time using the ▲ and ▼ keys, and then press the SET button again to save and exit.</w:t>
      </w:r>
    </w:p>
    <w:p w14:paraId="62980B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(Precautions for constant temperature operation time: When the set constant temperature time is reached, the PV displays END, the SV window displays off, and heating stops.). If you need to continue heating, simply turn it on and off again. If constant temperature operation is required, set TI to 0</w:t>
      </w:r>
    </w:p>
    <w:p w14:paraId="6678B9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(2) Constant temperature time query function:</w:t>
      </w:r>
    </w:p>
    <w:p w14:paraId="4C77B1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Press the ▲ key once, and the PV will display the constant temperature running time (in minutes). If there is a power outage midway, the clock will start from zero again after the power is restored.</w:t>
      </w:r>
    </w:p>
    <w:p w14:paraId="263DE9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(3) Instrument self-tuning function (please do not perform self-tuning operation unless under special circumstances):</w:t>
      </w:r>
    </w:p>
    <w:p w14:paraId="3A0EDA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If the current temperature control effect is not ideal, the self-tuning function can be used to improve it. Press and hold ◀ After about 5 seconds of pressing the key, the AT indicator light flashes, indicating the start of self-tuning; When the AT indicator light goes out, the self-tuning ends. If you want to stop the self-tuning function during the self-tuning process, press and hold ◀ After about 5 seconds, the AT indicator light will turn off and the self-tuning will stop.</w:t>
      </w:r>
    </w:p>
    <w:p w14:paraId="6ACAF2E4">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5" w:name="_Toc26430"/>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5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V</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Reparation Work And Experimental Steps</w:t>
      </w:r>
      <w:bookmarkEnd w:id="5"/>
    </w:p>
    <w:p w14:paraId="47EF6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5.1 Preparation work</w:t>
      </w:r>
    </w:p>
    <w:p w14:paraId="71B08C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5.1.1 Inject dilute hydrochloric acid (1:4) into the porcelain crucible (or porcelain evaporating dish) used and boil for a few minutes, then wash with distilled water. After drying, place it in a high-temperature furnace and calcine at 775 ± 25 ℃ for at least 10 minutes. Remove it and cool it in air for 3 minutes before transferring it into a dryer. After cooling to room temperature, weigh to the nearest 0.0001 grams.</w:t>
      </w:r>
    </w:p>
    <w:p w14:paraId="6778F4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Repeat calcination, cooling, and weighing until the difference between two consecutive weighings is no more than 0.0005 grams.</w:t>
      </w:r>
    </w:p>
    <w:p w14:paraId="1EE3F8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b/>
          <w:bCs/>
          <w:sz w:val="21"/>
          <w:szCs w:val="21"/>
        </w:rPr>
      </w:pPr>
      <w:r>
        <w:rPr>
          <w:rFonts w:hint="default" w:ascii="Arial" w:hAnsi="Arial" w:eastAsia="宋体" w:cs="Arial"/>
          <w:b/>
          <w:bCs/>
          <w:kern w:val="0"/>
          <w:sz w:val="21"/>
          <w:szCs w:val="21"/>
          <w:lang w:val="en-US" w:eastAsia="zh-CN" w:bidi="ar"/>
        </w:rPr>
        <w:t>5.2 Experimental steps</w:t>
      </w:r>
    </w:p>
    <w:p w14:paraId="630801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5.2.1 Accurately weigh the weighed crucible to 0.1g and weigh it into the sample with the same precision. According to the situation, a 25g sample can generally be placed in a 50ml crucible for testing. The sampling amount depends on the ash content of the sample, limited to producing 20mg of ash, but not exceeding 100g at most. (According to standard requirements)</w:t>
      </w:r>
    </w:p>
    <w:p w14:paraId="567C78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5.2.2 Fold the quantitative filter paper (provided by the customer) in half and roll it into a cone shape. Scissors should be used to cut off the top 5-10 millimeters away from the tip and place it into the crucible. Insert the conical filter paper (ignition core) firmly into the oil in the crucible, covering most of the sample surface.</w:t>
      </w:r>
    </w:p>
    <w:p w14:paraId="67605C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5.2.3When measuring the moisture content of the sample, place the crucible containing the sample and ignition core on a heating furnace (provided by the customer), slowly heat it, and let the water evaporate slowly until the filter paper soaked in the sample can ignite.</w:t>
      </w:r>
    </w:p>
    <w:p w14:paraId="329E75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After the ignition core penetrates the sample, it ignites and burns. The sample should be burned until a dry carbide residue is obtained. During combustion, the flame height is maintained at around 10 centimeters.</w:t>
      </w:r>
    </w:p>
    <w:p w14:paraId="4A4151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For viscous or waxy samples, heat them on an electric furnace while burning. After the combustion starts, adjust the heating to prevent the sample from splashing out or overflowing from the edge of the crucible.</w:t>
      </w:r>
    </w:p>
    <w:p w14:paraId="0E8BCF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5.2.4 After the combustion of the sample, transfer the crucible containing the residue into a high-temperature furnace heated to 775 ± 25 ℃ (attention should be paid to preventing sudden explosion or flushing. If possible, the crucible can be moved into the furnace first, or into the furnace at a lower temperature before rising to 775 ± 25 ℃), and heat at this temperature until the residue is completely reduced to ashes (usually maintained for 1.5-2.0 hours).</w:t>
      </w:r>
    </w:p>
    <w:p w14:paraId="642609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5.2.5 After the residue turns into ash, cool the crucible in air for 3 minutes, then cool it to room temperature in a dryer and weigh it accurately to 0.001 grams. Transfer to a high-temperature furnace and calcine for 20-30 minutes. Repeat calcination, cooling, and weighing until the difference between two consecutive weighings is no more than 0.0005 grams.</w:t>
      </w:r>
    </w:p>
    <w:p w14:paraId="3CECD3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5.3 Calculation</w:t>
      </w:r>
    </w:p>
    <w:p w14:paraId="24D948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The ash content X (%) of the sample is calculated according to the following formula:</w:t>
      </w:r>
    </w:p>
    <w:p w14:paraId="2A848A43">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Arial" w:hAnsi="Arial" w:cs="Arial"/>
          <w:b/>
          <w:sz w:val="21"/>
          <w:szCs w:val="21"/>
        </w:rPr>
      </w:pPr>
      <w:r>
        <w:rPr>
          <w:rFonts w:hint="default" w:ascii="Arial" w:hAnsi="Arial" w:cs="Arial"/>
          <w:sz w:val="21"/>
          <w:szCs w:val="21"/>
        </w:rPr>
        <w:t xml:space="preserve"> X＝</w:t>
      </w:r>
      <m:oMath>
        <m:f>
          <m:fPr>
            <m:ctrlPr>
              <w:rPr>
                <w:rFonts w:hint="default" w:ascii="Cambria Math" w:hAnsi="Cambria Math"/>
                <w:sz w:val="24"/>
                <w:szCs w:val="24"/>
              </w:rPr>
            </m:ctrlPr>
          </m:fPr>
          <m:num>
            <m:r>
              <m:rPr>
                <m:sty m:val="p"/>
              </m:rPr>
              <w:rPr>
                <w:rFonts w:hint="default" w:ascii="Cambria Math" w:hAnsi="Cambria Math"/>
                <w:sz w:val="24"/>
                <w:szCs w:val="24"/>
              </w:rPr>
              <m:t>G1</m:t>
            </m:r>
            <m:ctrlPr>
              <w:rPr>
                <w:rFonts w:hint="default" w:ascii="Cambria Math" w:hAnsi="Cambria Math"/>
                <w:sz w:val="24"/>
                <w:szCs w:val="24"/>
              </w:rPr>
            </m:ctrlPr>
          </m:num>
          <m:den>
            <m:r>
              <m:rPr>
                <m:sty m:val="p"/>
              </m:rPr>
              <w:rPr>
                <w:rFonts w:hint="default" w:ascii="Cambria Math" w:hAnsi="Cambria Math"/>
                <w:sz w:val="24"/>
                <w:szCs w:val="24"/>
              </w:rPr>
              <m:t>G</m:t>
            </m:r>
            <m:ctrlPr>
              <w:rPr>
                <w:rFonts w:hint="default" w:ascii="Cambria Math" w:hAnsi="Cambria Math"/>
                <w:sz w:val="24"/>
                <w:szCs w:val="24"/>
              </w:rPr>
            </m:ctrlPr>
          </m:den>
        </m:f>
      </m:oMath>
      <w:r>
        <w:rPr>
          <w:rFonts w:hint="default" w:ascii="Arial" w:hAnsi="Arial" w:cs="Arial"/>
          <w:sz w:val="21"/>
          <w:szCs w:val="21"/>
        </w:rPr>
        <w:t>×100</w:t>
      </w:r>
    </w:p>
    <w:p w14:paraId="26C014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In the formula:</w:t>
      </w:r>
    </w:p>
    <w:p w14:paraId="4C39F8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G1- Weight of ash , grams</w:t>
      </w:r>
    </w:p>
    <w:p w14:paraId="04F2FF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G - Weight of the sample, grams</w:t>
      </w:r>
    </w:p>
    <w:p w14:paraId="1548A2D5">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Arial" w:hAnsi="Arial" w:eastAsia="宋体" w:cs="Arial"/>
          <w:b/>
          <w:sz w:val="32"/>
          <w:szCs w:val="32"/>
          <w:lang w:val="en-US" w:eastAsia="zh-CN"/>
        </w:rPr>
      </w:pPr>
      <w:bookmarkStart w:id="6" w:name="_Toc20829"/>
      <w:r>
        <w:rPr>
          <w:rFonts w:hint="default" w:ascii="Arial" w:hAnsi="Arial" w:eastAsia="宋体" w:cs="Arial"/>
          <w:b/>
          <w:sz w:val="32"/>
          <w:szCs w:val="32"/>
          <w:lang w:val="en-US" w:eastAsia="zh-CN"/>
        </w:rPr>
        <w:fldChar w:fldCharType="begin"/>
      </w:r>
      <w:r>
        <w:rPr>
          <w:rFonts w:hint="default" w:ascii="Arial" w:hAnsi="Arial" w:eastAsia="宋体" w:cs="Arial"/>
          <w:b/>
          <w:sz w:val="32"/>
          <w:szCs w:val="32"/>
          <w:lang w:val="en-US" w:eastAsia="zh-CN"/>
        </w:rPr>
        <w:instrText xml:space="preserve"> = 6 \* ROMAN \* MERGEFORMAT </w:instrText>
      </w:r>
      <w:r>
        <w:rPr>
          <w:rFonts w:hint="default" w:ascii="Arial" w:hAnsi="Arial" w:eastAsia="宋体" w:cs="Arial"/>
          <w:b/>
          <w:sz w:val="32"/>
          <w:szCs w:val="32"/>
          <w:lang w:val="en-US" w:eastAsia="zh-CN"/>
        </w:rPr>
        <w:fldChar w:fldCharType="separate"/>
      </w:r>
      <w:r>
        <w:rPr>
          <w:rFonts w:hint="default" w:ascii="Arial" w:hAnsi="Arial" w:eastAsia="宋体" w:cs="Arial"/>
          <w:b/>
          <w:sz w:val="32"/>
          <w:szCs w:val="32"/>
          <w:lang w:val="en-US" w:eastAsia="zh-CN"/>
        </w:rPr>
        <w:t>VI</w:t>
      </w:r>
      <w:r>
        <w:rPr>
          <w:rFonts w:hint="default" w:ascii="Arial" w:hAnsi="Arial" w:eastAsia="宋体" w:cs="Arial"/>
          <w:b/>
          <w:sz w:val="32"/>
          <w:szCs w:val="32"/>
          <w:lang w:val="en-US" w:eastAsia="zh-CN"/>
        </w:rPr>
        <w:fldChar w:fldCharType="end"/>
      </w:r>
      <w:r>
        <w:rPr>
          <w:rFonts w:hint="eastAsia" w:ascii="Arial" w:hAnsi="Arial" w:eastAsia="宋体" w:cs="Arial"/>
          <w:b/>
          <w:sz w:val="32"/>
          <w:szCs w:val="32"/>
          <w:lang w:val="en-US" w:eastAsia="zh-CN"/>
        </w:rPr>
        <w:t>.</w:t>
      </w:r>
      <w:r>
        <w:rPr>
          <w:rFonts w:hint="default" w:ascii="Arial" w:hAnsi="Arial" w:eastAsia="宋体" w:cs="Arial"/>
          <w:b/>
          <w:sz w:val="32"/>
          <w:szCs w:val="32"/>
          <w:lang w:val="en-US" w:eastAsia="zh-CN"/>
        </w:rPr>
        <w:t xml:space="preserve"> Maintenance And Precautions</w:t>
      </w:r>
      <w:bookmarkEnd w:id="6"/>
    </w:p>
    <w:p w14:paraId="5A9B8B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1.When the resistance furnace is used for the first time or has been out of use for a long time, it must be dried again.</w:t>
      </w:r>
    </w:p>
    <w:p w14:paraId="492AC7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2. The casing of this instrument must be reliably grounded to ensure safe use.</w:t>
      </w:r>
    </w:p>
    <w:p w14:paraId="76AD7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3. This instrument should be placed indoors with good ventilation conditions, with a relative humidity of no more than 85%, and should not be placed around it Place flammable, explosive, and corrosive materials.</w:t>
      </w:r>
    </w:p>
    <w:p w14:paraId="4253D8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4. Regularly check whether the connecting screws of each part are loose, and tighten them if they are loose.</w:t>
      </w:r>
    </w:p>
    <w:p w14:paraId="235DE6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5. Regularly clean the dust inside the instrument.</w:t>
      </w:r>
    </w:p>
    <w:p w14:paraId="2BA99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eastAsia="宋体" w:cs="Arial"/>
          <w:kern w:val="0"/>
          <w:sz w:val="21"/>
          <w:szCs w:val="21"/>
          <w:lang w:val="en-US" w:eastAsia="zh-CN" w:bidi="ar"/>
        </w:rPr>
        <w:t>6. The back of the machine must be at least 20 centimeters away from the wall to facilitate heat dissipation.</w:t>
      </w:r>
    </w:p>
    <w:p w14:paraId="1343861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34A41A4A">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1A816098">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23329479">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0DDB391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38B1EAA7">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791AED81">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left="0" w:leftChars="0" w:right="0" w:rightChars="0" w:firstLine="0" w:firstLineChars="0"/>
        <w:jc w:val="left"/>
        <w:textAlignment w:val="top"/>
        <w:outlineLvl w:val="0"/>
        <w:rPr>
          <w:rFonts w:hint="eastAsia" w:ascii="Arial" w:hAnsi="Arial" w:cs="Arial"/>
          <w:b/>
          <w:sz w:val="32"/>
          <w:szCs w:val="32"/>
        </w:rPr>
      </w:pPr>
      <w:bookmarkStart w:id="7" w:name="_Toc5274"/>
      <w:bookmarkStart w:id="8" w:name="_Toc15434_WPSOffice_Level1"/>
      <w:r>
        <w:rPr>
          <w:rFonts w:hint="eastAsia" w:ascii="Arial" w:hAnsi="Arial" w:cs="Arial"/>
          <w:b/>
          <w:sz w:val="32"/>
          <w:szCs w:val="32"/>
          <w:lang w:val="en-US" w:eastAsia="zh-CN"/>
        </w:rPr>
        <w:t xml:space="preserve">VII. </w:t>
      </w:r>
      <w:r>
        <w:rPr>
          <w:rFonts w:hint="default" w:ascii="Arial" w:hAnsi="Arial" w:cs="Arial"/>
          <w:b/>
          <w:sz w:val="32"/>
          <w:szCs w:val="32"/>
        </w:rPr>
        <w:t>Packing List</w:t>
      </w:r>
      <w:bookmarkEnd w:id="7"/>
      <w:bookmarkEnd w:id="8"/>
    </w:p>
    <w:tbl>
      <w:tblPr>
        <w:tblStyle w:val="8"/>
        <w:tblW w:w="44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5125"/>
        <w:gridCol w:w="1243"/>
      </w:tblGrid>
      <w:tr w14:paraId="3B8A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761F49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Times New Roman" w:cs="Arial"/>
                <w:b/>
                <w:sz w:val="21"/>
                <w:szCs w:val="21"/>
              </w:rPr>
            </w:pPr>
            <w:r>
              <w:rPr>
                <w:rFonts w:hint="default" w:ascii="Arial" w:hAnsi="Arial" w:cs="Arial"/>
                <w:b/>
                <w:bCs/>
                <w:sz w:val="21"/>
                <w:szCs w:val="21"/>
              </w:rPr>
              <w:t>No.</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59300F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Times New Roman" w:cs="Arial"/>
                <w:b/>
                <w:sz w:val="21"/>
                <w:szCs w:val="21"/>
              </w:rPr>
            </w:pPr>
            <w:r>
              <w:rPr>
                <w:rFonts w:hint="default" w:ascii="Arial" w:hAnsi="Arial" w:cs="Arial"/>
                <w:b/>
                <w:bCs/>
                <w:sz w:val="21"/>
                <w:szCs w:val="21"/>
              </w:rPr>
              <w:t>Item</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640D69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Times New Roman" w:cs="Arial"/>
                <w:b/>
                <w:sz w:val="21"/>
                <w:szCs w:val="21"/>
              </w:rPr>
            </w:pPr>
            <w:r>
              <w:rPr>
                <w:rFonts w:hint="default" w:ascii="Arial" w:hAnsi="Arial" w:cs="Arial"/>
                <w:b/>
                <w:bCs/>
                <w:sz w:val="21"/>
                <w:szCs w:val="21"/>
              </w:rPr>
              <w:t>Qty</w:t>
            </w:r>
          </w:p>
        </w:tc>
      </w:tr>
      <w:tr w14:paraId="3E91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67B89C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eastAsia="Times New Roman" w:cs="Arial"/>
                <w:sz w:val="21"/>
                <w:szCs w:val="21"/>
              </w:rPr>
            </w:pPr>
            <w:r>
              <w:rPr>
                <w:rFonts w:hint="default" w:ascii="Arial" w:hAnsi="Arial" w:cs="Arial"/>
                <w:sz w:val="21"/>
                <w:szCs w:val="21"/>
              </w:rPr>
              <w:t>1</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68CB961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cs="Arial"/>
                <w:sz w:val="21"/>
                <w:szCs w:val="21"/>
              </w:rPr>
            </w:pPr>
            <w:r>
              <w:rPr>
                <w:rFonts w:hint="default" w:ascii="Arial" w:hAnsi="Arial" w:cs="Arial"/>
                <w:sz w:val="21"/>
                <w:szCs w:val="21"/>
              </w:rPr>
              <w:t>High temperature heating furnace</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086D4A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eastAsia="Times New Roman" w:cs="Arial"/>
                <w:sz w:val="21"/>
                <w:szCs w:val="21"/>
              </w:rPr>
            </w:pPr>
            <w:r>
              <w:rPr>
                <w:rFonts w:hint="default" w:ascii="Arial" w:hAnsi="Arial" w:cs="Arial"/>
                <w:sz w:val="21"/>
                <w:szCs w:val="21"/>
              </w:rPr>
              <w:t>1</w:t>
            </w:r>
          </w:p>
        </w:tc>
      </w:tr>
      <w:tr w14:paraId="234A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14F56F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eastAsia="Times New Roman" w:cs="Arial"/>
                <w:sz w:val="21"/>
                <w:szCs w:val="21"/>
              </w:rPr>
            </w:pPr>
            <w:r>
              <w:rPr>
                <w:rFonts w:hint="default" w:ascii="Arial" w:hAnsi="Arial" w:cs="Arial"/>
                <w:sz w:val="21"/>
                <w:szCs w:val="21"/>
              </w:rPr>
              <w:t>2</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4B69DAA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sz w:val="21"/>
                <w:szCs w:val="21"/>
                <w:lang w:val="en-US" w:eastAsia="zh-CN"/>
              </w:rPr>
            </w:pPr>
            <w:r>
              <w:rPr>
                <w:rFonts w:hint="default" w:ascii="Arial" w:hAnsi="Arial" w:cs="Arial"/>
                <w:sz w:val="21"/>
                <w:szCs w:val="21"/>
              </w:rPr>
              <w:t>Temperature controller</w:t>
            </w:r>
            <w:r>
              <w:rPr>
                <w:rFonts w:hint="eastAsia" w:ascii="Arial" w:hAnsi="Arial" w:cs="Arial"/>
                <w:sz w:val="21"/>
                <w:szCs w:val="21"/>
                <w:lang w:val="en-US" w:eastAsia="zh-CN"/>
              </w:rPr>
              <w:t>(</w:t>
            </w:r>
            <w:r>
              <w:rPr>
                <w:rFonts w:hint="default" w:ascii="Arial" w:hAnsi="Arial" w:cs="Arial"/>
                <w:sz w:val="21"/>
                <w:szCs w:val="21"/>
              </w:rPr>
              <w:t>Inside the instrument</w:t>
            </w:r>
            <w:r>
              <w:rPr>
                <w:rFonts w:hint="eastAsia" w:ascii="Arial" w:hAnsi="Arial" w:cs="Arial"/>
                <w:sz w:val="21"/>
                <w:szCs w:val="21"/>
                <w:lang w:val="en-US" w:eastAsia="zh-CN"/>
              </w:rPr>
              <w:t>)</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D7A91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1</w:t>
            </w:r>
          </w:p>
        </w:tc>
      </w:tr>
      <w:tr w14:paraId="4830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2DEEC9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3</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45A21DC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cs="Arial"/>
                <w:kern w:val="2"/>
                <w:sz w:val="21"/>
                <w:szCs w:val="21"/>
                <w:lang w:val="en-US" w:eastAsia="zh-CN" w:bidi="ar-SA"/>
              </w:rPr>
            </w:pPr>
            <w:r>
              <w:rPr>
                <w:rFonts w:hint="default" w:ascii="Arial" w:hAnsi="Arial" w:cs="Arial"/>
                <w:sz w:val="21"/>
                <w:szCs w:val="21"/>
              </w:rPr>
              <w:t>Porcelain crucible</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596F297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10</w:t>
            </w:r>
          </w:p>
        </w:tc>
      </w:tr>
      <w:tr w14:paraId="1564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223451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4</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74FDA34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cs="Arial"/>
                <w:kern w:val="2"/>
                <w:sz w:val="21"/>
                <w:szCs w:val="21"/>
                <w:lang w:val="en-US" w:eastAsia="zh-CN" w:bidi="ar-SA"/>
              </w:rPr>
            </w:pPr>
            <w:r>
              <w:rPr>
                <w:rFonts w:hint="default" w:ascii="Arial" w:hAnsi="Arial" w:cs="Arial"/>
                <w:sz w:val="21"/>
                <w:szCs w:val="21"/>
              </w:rPr>
              <w:t>Crucible tongs</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4C4390D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w:t>
            </w:r>
          </w:p>
        </w:tc>
      </w:tr>
      <w:tr w14:paraId="4550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053FBD5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5</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20486F8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cs="Arial"/>
                <w:kern w:val="2"/>
                <w:sz w:val="21"/>
                <w:szCs w:val="21"/>
                <w:lang w:val="en-US" w:eastAsia="zh-CN" w:bidi="ar-SA"/>
              </w:rPr>
            </w:pPr>
            <w:r>
              <w:rPr>
                <w:rFonts w:hint="default" w:ascii="Arial" w:hAnsi="Arial" w:cs="Arial"/>
                <w:sz w:val="21"/>
                <w:szCs w:val="21"/>
              </w:rPr>
              <w:t>Power cord</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60F95BC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w:t>
            </w:r>
          </w:p>
        </w:tc>
      </w:tr>
      <w:tr w14:paraId="4A3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687C05F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6</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4A9942B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Arial" w:hAnsi="Arial" w:eastAsia="宋体" w:cs="Arial"/>
                <w:kern w:val="2"/>
                <w:sz w:val="21"/>
                <w:szCs w:val="21"/>
                <w:lang w:val="en-US" w:eastAsia="zh-CN" w:bidi="ar-SA"/>
              </w:rPr>
            </w:pPr>
            <w:r>
              <w:rPr>
                <w:rFonts w:hint="default" w:ascii="Arial" w:hAnsi="Arial" w:cs="Arial"/>
                <w:sz w:val="21"/>
                <w:szCs w:val="21"/>
              </w:rPr>
              <w:t>Fuse tube</w:t>
            </w:r>
            <w:r>
              <w:rPr>
                <w:rFonts w:hint="eastAsia" w:ascii="Arial" w:hAnsi="Arial" w:cs="Arial"/>
                <w:sz w:val="21"/>
                <w:szCs w:val="21"/>
                <w:lang w:val="en-US" w:eastAsia="zh-CN"/>
              </w:rPr>
              <w:t>(</w:t>
            </w:r>
            <w:r>
              <w:rPr>
                <w:rFonts w:hint="default" w:ascii="Arial" w:hAnsi="Arial" w:cs="Arial"/>
                <w:sz w:val="21"/>
                <w:szCs w:val="21"/>
              </w:rPr>
              <w:t>10A</w:t>
            </w:r>
            <w:r>
              <w:rPr>
                <w:rFonts w:hint="eastAsia" w:ascii="Arial" w:hAnsi="Arial" w:cs="Arial"/>
                <w:sz w:val="21"/>
                <w:szCs w:val="21"/>
                <w:lang w:val="en-US" w:eastAsia="zh-CN"/>
              </w:rPr>
              <w:t>)</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45D3E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w:t>
            </w:r>
          </w:p>
        </w:tc>
      </w:tr>
      <w:tr w14:paraId="5D6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216823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7</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78D21A0C">
            <w:pPr>
              <w:widowControl/>
              <w:ind w:left="0" w:leftChars="0" w:firstLine="0" w:firstLineChars="0"/>
              <w:jc w:val="left"/>
              <w:textAlignment w:val="center"/>
              <w:rPr>
                <w:rFonts w:hint="default" w:ascii="Arial" w:hAnsi="Arial" w:cs="Arial"/>
                <w:kern w:val="2"/>
                <w:sz w:val="21"/>
                <w:szCs w:val="21"/>
                <w:lang w:val="en-US" w:eastAsia="zh-CN" w:bidi="ar-SA"/>
              </w:rPr>
            </w:pPr>
            <w:r>
              <w:rPr>
                <w:rFonts w:hint="eastAsia" w:ascii="Arial" w:hAnsi="Arial" w:cs="Arial"/>
                <w:sz w:val="21"/>
                <w:szCs w:val="21"/>
                <w:lang w:val="en-US" w:eastAsia="zh-CN"/>
              </w:rPr>
              <w:t>User manual</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44FDFBC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w:t>
            </w:r>
          </w:p>
        </w:tc>
      </w:tr>
      <w:tr w14:paraId="0E1B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2" w:type="pct"/>
            <w:tcBorders>
              <w:top w:val="single" w:color="auto" w:sz="4" w:space="0"/>
              <w:left w:val="single" w:color="auto" w:sz="4" w:space="0"/>
              <w:bottom w:val="single" w:color="auto" w:sz="4" w:space="0"/>
              <w:right w:val="single" w:color="auto" w:sz="4" w:space="0"/>
            </w:tcBorders>
            <w:noWrap w:val="0"/>
            <w:vAlign w:val="center"/>
          </w:tcPr>
          <w:p w14:paraId="358880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8</w:t>
            </w:r>
          </w:p>
        </w:tc>
        <w:tc>
          <w:tcPr>
            <w:tcW w:w="3378" w:type="pct"/>
            <w:tcBorders>
              <w:top w:val="single" w:color="auto" w:sz="4" w:space="0"/>
              <w:left w:val="single" w:color="auto" w:sz="4" w:space="0"/>
              <w:bottom w:val="single" w:color="auto" w:sz="4" w:space="0"/>
              <w:right w:val="single" w:color="auto" w:sz="4" w:space="0"/>
            </w:tcBorders>
            <w:noWrap w:val="0"/>
            <w:vAlign w:val="center"/>
          </w:tcPr>
          <w:p w14:paraId="41BAB513">
            <w:pPr>
              <w:widowControl/>
              <w:ind w:left="0" w:leftChars="0" w:firstLine="0" w:firstLineChars="0"/>
              <w:jc w:val="left"/>
              <w:textAlignment w:val="center"/>
              <w:rPr>
                <w:rFonts w:hint="default" w:ascii="Arial" w:hAnsi="Arial" w:eastAsia="Times New Roman" w:cs="Arial"/>
                <w:kern w:val="2"/>
                <w:sz w:val="21"/>
                <w:szCs w:val="21"/>
                <w:lang w:val="en-US" w:eastAsia="zh-CN" w:bidi="ar-SA"/>
              </w:rPr>
            </w:pPr>
            <w:r>
              <w:rPr>
                <w:rFonts w:hint="default" w:ascii="Arial" w:hAnsi="Arial" w:cs="Arial"/>
                <w:sz w:val="21"/>
                <w:szCs w:val="21"/>
                <w:lang w:val="en-US" w:eastAsia="zh-CN"/>
              </w:rPr>
              <w:t>Calibration Certificate</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1CDA644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Arial" w:hAnsi="Arial" w:cs="Arial"/>
                <w:kern w:val="2"/>
                <w:sz w:val="21"/>
                <w:szCs w:val="21"/>
                <w:lang w:val="en-US" w:eastAsia="zh-CN" w:bidi="ar-SA"/>
              </w:rPr>
            </w:pPr>
            <w:r>
              <w:rPr>
                <w:rFonts w:hint="default" w:ascii="Arial" w:hAnsi="Arial" w:cs="Arial"/>
                <w:sz w:val="21"/>
                <w:szCs w:val="21"/>
              </w:rPr>
              <w:t>1</w:t>
            </w:r>
          </w:p>
        </w:tc>
      </w:tr>
    </w:tbl>
    <w:p w14:paraId="08341AF2">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5384B346">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54A96FEF">
      <w:pPr>
        <w:keepNext w:val="0"/>
        <w:keepLines w:val="0"/>
        <w:pageBreakBefore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50EEDE50">
      <w:pPr>
        <w:rPr>
          <w:rFonts w:hint="eastAsia"/>
        </w:rPr>
      </w:pPr>
      <w:bookmarkStart w:id="9" w:name="_GoBack"/>
      <w:bookmarkEnd w:id="9"/>
    </w:p>
    <w:p w14:paraId="7A189811">
      <w:pPr>
        <w:rPr>
          <w:rFonts w:hint="eastAsia"/>
        </w:rPr>
      </w:pPr>
    </w:p>
    <w:p w14:paraId="33760801">
      <w:pPr>
        <w:rPr>
          <w:rFonts w:hint="eastAsia"/>
        </w:rPr>
      </w:pPr>
    </w:p>
    <w:p w14:paraId="680427FD">
      <w:pPr>
        <w:rPr>
          <w:rFonts w:hint="eastAsia"/>
        </w:rPr>
      </w:pPr>
    </w:p>
    <w:p w14:paraId="3B176932">
      <w:pPr>
        <w:rPr>
          <w:rFonts w:hint="eastAsia"/>
        </w:rPr>
      </w:pPr>
    </w:p>
    <w:p w14:paraId="6E675829">
      <w:pPr>
        <w:rPr>
          <w:rFonts w:hint="eastAsia"/>
        </w:rPr>
      </w:pPr>
    </w:p>
    <w:p w14:paraId="09EEB5F6">
      <w:pPr>
        <w:spacing w:line="360" w:lineRule="auto"/>
        <w:rPr>
          <w:rFonts w:hint="eastAsia"/>
          <w:sz w:val="24"/>
        </w:rPr>
      </w:pPr>
    </w:p>
    <w:sectPr>
      <w:headerReference r:id="rId16" w:type="first"/>
      <w:footerReference r:id="rId19" w:type="first"/>
      <w:headerReference r:id="rId15" w:type="default"/>
      <w:footerReference r:id="rId17" w:type="default"/>
      <w:footerReference r:id="rId18" w:type="even"/>
      <w:pgSz w:w="11907" w:h="16840"/>
      <w:pgMar w:top="1440" w:right="1800" w:bottom="1440" w:left="1800" w:header="850"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auto"/>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9FBD">
    <w:pPr>
      <w:pStyle w:val="4"/>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3EAE">
    <w:pPr>
      <w:pStyle w:val="4"/>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4AB8">
    <w:pPr>
      <w:pStyle w:val="4"/>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1C0F">
    <w:pPr>
      <w:pStyle w:val="4"/>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F6E8">
    <w:pPr>
      <w:pStyle w:val="4"/>
    </w:pPr>
  </w:p>
  <w:p w14:paraId="5FB780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D057">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7A01">
    <w:pPr>
      <w:pStyle w:val="4"/>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D9A4BBA">
                          <w:pPr>
                            <w:pStyle w:val="4"/>
                            <w:ind w:right="360"/>
                            <w:jc w:val="center"/>
                          </w:pPr>
                          <w:r>
                            <w:fldChar w:fldCharType="begin"/>
                          </w:r>
                          <w:r>
                            <w:rPr>
                              <w:rStyle w:val="10"/>
                            </w:rPr>
                            <w:instrText xml:space="preserve"> PAGE </w:instrText>
                          </w:r>
                          <w:r>
                            <w:fldChar w:fldCharType="separate"/>
                          </w:r>
                          <w:r>
                            <w:rPr>
                              <w:rStyle w:val="10"/>
                            </w:rPr>
                            <w:t>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0D9A4BBA">
                    <w:pPr>
                      <w:pStyle w:val="4"/>
                      <w:ind w:right="360"/>
                      <w:jc w:val="center"/>
                    </w:pPr>
                    <w:r>
                      <w:fldChar w:fldCharType="begin"/>
                    </w:r>
                    <w:r>
                      <w:rPr>
                        <w:rStyle w:val="10"/>
                      </w:rPr>
                      <w:instrText xml:space="preserve"> PAGE </w:instrText>
                    </w:r>
                    <w:r>
                      <w:fldChar w:fldCharType="separate"/>
                    </w:r>
                    <w:r>
                      <w:rPr>
                        <w:rStyle w:val="10"/>
                      </w:rP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DE9C">
    <w:pPr>
      <w:pStyle w:val="4"/>
      <w:framePr w:wrap="around" w:vAnchor="text" w:hAnchor="margin" w:xAlign="right" w:y="1"/>
      <w:rPr>
        <w:rStyle w:val="10"/>
      </w:rPr>
    </w:pPr>
    <w:r>
      <w:fldChar w:fldCharType="begin"/>
    </w:r>
    <w:r>
      <w:rPr>
        <w:rStyle w:val="10"/>
      </w:rPr>
      <w:instrText xml:space="preserve">PAGE  </w:instrText>
    </w:r>
    <w:r>
      <w:fldChar w:fldCharType="end"/>
    </w:r>
  </w:p>
  <w:p w14:paraId="7EA899A1">
    <w:pPr>
      <w:pStyle w:val="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669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BD32161">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7LVu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vstW5wEAAMcD&#10;AAAOAAAAAAAAAAEAIAAAAB4BAABkcnMvZTJvRG9jLnhtbFBLBQYAAAAABgAGAFkBAAB3BQAAAAA=&#10;">
              <v:fill on="f" focussize="0,0"/>
              <v:stroke on="f"/>
              <v:imagedata o:title=""/>
              <o:lock v:ext="edit" aspectratio="f"/>
              <v:textbox inset="0mm,0mm,0mm,0mm" style="mso-fit-shape-to-text:t;">
                <w:txbxContent>
                  <w:p w14:paraId="6BD3216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2070">
    <w:pPr>
      <w:pStyle w:val="5"/>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7"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224A">
    <w:pPr>
      <w:pStyle w:val="5"/>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61312"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826B">
    <w:pPr>
      <w:pStyle w:val="5"/>
      <w:pBdr>
        <w:bottom w:val="none" w:color="auto" w:sz="0" w:space="0"/>
      </w:pBdr>
      <w:ind w:firstLine="0"/>
      <w:rPr>
        <w:rFonts w:hint="eastAsia" w:eastAsia="隶书"/>
        <w:lang w:eastAsia="zh-CN"/>
      </w:rPr>
    </w:pPr>
  </w:p>
  <w:p w14:paraId="30B47244">
    <w:pPr>
      <w:pStyle w:val="5"/>
      <w:pBdr>
        <w:bottom w:val="none" w:color="auto" w:sz="0" w:space="0"/>
      </w:pBdr>
      <w:ind w:firstLine="0"/>
      <w:rPr>
        <w:rFonts w:hint="eastAsia" w:eastAsia="隶书"/>
        <w:lang w:eastAsia="zh-CN"/>
      </w:rPr>
    </w:pPr>
  </w:p>
  <w:p w14:paraId="3A8A5960">
    <w:pPr>
      <w:pStyle w:val="5"/>
      <w:pBdr>
        <w:bottom w:val="none" w:color="auto" w:sz="0" w:space="0"/>
      </w:pBdr>
      <w:ind w:firstLine="0"/>
      <w:rPr>
        <w:rFonts w:hint="eastAsia" w:eastAsia="隶书"/>
        <w:lang w:eastAsia="zh-CN"/>
      </w:rPr>
    </w:pPr>
  </w:p>
  <w:p w14:paraId="3A5E2C47">
    <w:pPr>
      <w:pStyle w:val="5"/>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5"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E38A">
    <w:pPr>
      <w:pStyle w:val="5"/>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rPr>
      <w:t xml:space="preserve">                               </w:t>
    </w:r>
    <w:r>
      <w:rPr>
        <w:rFonts w:hint="eastAsia" w:eastAsia="隶书"/>
        <w:lang w:eastAsia="zh-CN"/>
      </w:rPr>
      <w:drawing>
        <wp:inline distT="0" distB="0" distL="114300" distR="114300">
          <wp:extent cx="5266690" cy="289560"/>
          <wp:effectExtent l="0" t="0" r="10160" b="15240"/>
          <wp:docPr id="4"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C308">
    <w:pPr>
      <w:pStyle w:val="5"/>
      <w:widowControl w:val="0"/>
      <w:pBdr>
        <w:top w:val="none" w:color="auto" w:sz="0" w:space="1"/>
        <w:left w:val="none" w:color="auto" w:sz="0" w:space="4"/>
        <w:bottom w:val="none" w:color="auto" w:sz="0" w:space="0"/>
        <w:right w:val="none" w:color="auto" w:sz="0" w:space="4"/>
        <w:between w:val="none" w:color="auto" w:sz="0" w:space="0"/>
      </w:pBdr>
      <w:snapToGrid w:val="0"/>
      <w:jc w:val="both"/>
      <w:rPr>
        <w:i/>
      </w:rPr>
    </w:pPr>
    <w:r>
      <w:rPr>
        <w:rFonts w:hint="eastAsia" w:eastAsia="隶书"/>
        <w:lang w:eastAsia="zh-CN"/>
      </w:rPr>
      <w:drawing>
        <wp:inline distT="0" distB="0" distL="114300" distR="114300">
          <wp:extent cx="5266690" cy="289560"/>
          <wp:effectExtent l="0" t="0" r="10160" b="15240"/>
          <wp:docPr id="8"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87C1">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9A4C">
    <w:pPr>
      <w:pStyle w:val="5"/>
      <w:pBdr>
        <w:bottom w:val="none" w:color="auto" w:sz="0" w:space="1"/>
      </w:pBdr>
      <w:jc w:val="both"/>
      <w:rPr>
        <w:rFonts w:hint="eastAsia"/>
      </w:rPr>
    </w:pPr>
    <w:r>
      <w:rPr>
        <w:rFonts w:hint="eastAsia" w:eastAsia="隶书"/>
        <w:lang w:eastAsia="zh-CN"/>
      </w:rPr>
      <w:drawing>
        <wp:inline distT="0" distB="0" distL="114300" distR="114300">
          <wp:extent cx="5266690" cy="289560"/>
          <wp:effectExtent l="0" t="0" r="10160" b="15240"/>
          <wp:docPr id="10"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DCEC">
    <w:pPr>
      <w:pStyle w:val="5"/>
      <w:pBdr>
        <w:bottom w:val="none" w:color="auto" w:sz="0" w:space="1"/>
      </w:pBdr>
    </w:pPr>
    <w:r>
      <w:rPr>
        <w:rFonts w:hint="eastAsia" w:eastAsia="隶书"/>
        <w:lang w:eastAsia="zh-CN"/>
      </w:rPr>
      <w:drawing>
        <wp:inline distT="0" distB="0" distL="114300" distR="114300">
          <wp:extent cx="5266690" cy="289560"/>
          <wp:effectExtent l="0" t="0" r="10160" b="15240"/>
          <wp:docPr id="9"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ZGZkYjY2MGM0ODM2ZjNiZmM0MGU0M2Y1NjE0MTIifQ=="/>
  </w:docVars>
  <w:rsids>
    <w:rsidRoot w:val="001601D6"/>
    <w:rsid w:val="00041ABB"/>
    <w:rsid w:val="00045BB8"/>
    <w:rsid w:val="00061AEC"/>
    <w:rsid w:val="00062AFB"/>
    <w:rsid w:val="0006316E"/>
    <w:rsid w:val="000B71FE"/>
    <w:rsid w:val="000E1814"/>
    <w:rsid w:val="001601D6"/>
    <w:rsid w:val="0017163E"/>
    <w:rsid w:val="00186E94"/>
    <w:rsid w:val="001A6009"/>
    <w:rsid w:val="002E74A7"/>
    <w:rsid w:val="00402211"/>
    <w:rsid w:val="00674202"/>
    <w:rsid w:val="00714AF7"/>
    <w:rsid w:val="00805A7F"/>
    <w:rsid w:val="00844DB0"/>
    <w:rsid w:val="00857719"/>
    <w:rsid w:val="008A1036"/>
    <w:rsid w:val="0099745C"/>
    <w:rsid w:val="009A0606"/>
    <w:rsid w:val="009E00D3"/>
    <w:rsid w:val="00A3271B"/>
    <w:rsid w:val="00B858F3"/>
    <w:rsid w:val="00BB55A9"/>
    <w:rsid w:val="00BE6CEB"/>
    <w:rsid w:val="00BF72B2"/>
    <w:rsid w:val="00C81B73"/>
    <w:rsid w:val="00C92CC1"/>
    <w:rsid w:val="00CF105A"/>
    <w:rsid w:val="00DA684C"/>
    <w:rsid w:val="00DA7806"/>
    <w:rsid w:val="00DD0391"/>
    <w:rsid w:val="00DE76FD"/>
    <w:rsid w:val="00F1478C"/>
    <w:rsid w:val="00F47588"/>
    <w:rsid w:val="00F54BD6"/>
    <w:rsid w:val="00F71FB3"/>
    <w:rsid w:val="02540D2C"/>
    <w:rsid w:val="03174B83"/>
    <w:rsid w:val="03E45C82"/>
    <w:rsid w:val="08EB7733"/>
    <w:rsid w:val="08FB35A7"/>
    <w:rsid w:val="09D44991"/>
    <w:rsid w:val="0ECC3371"/>
    <w:rsid w:val="178D5066"/>
    <w:rsid w:val="18272A98"/>
    <w:rsid w:val="269100D3"/>
    <w:rsid w:val="36017A1E"/>
    <w:rsid w:val="3BAD7F03"/>
    <w:rsid w:val="3F6D76F7"/>
    <w:rsid w:val="403E450D"/>
    <w:rsid w:val="42336656"/>
    <w:rsid w:val="45C73976"/>
    <w:rsid w:val="48377B13"/>
    <w:rsid w:val="4B0C247A"/>
    <w:rsid w:val="4C420760"/>
    <w:rsid w:val="5FC17DDE"/>
    <w:rsid w:val="66A92EA6"/>
    <w:rsid w:val="67B53DFD"/>
    <w:rsid w:val="68A629B6"/>
    <w:rsid w:val="68EA6E2E"/>
    <w:rsid w:val="6E174FF7"/>
    <w:rsid w:val="70D201B7"/>
    <w:rsid w:val="70D830C8"/>
    <w:rsid w:val="78F80F8C"/>
    <w:rsid w:val="7B913FB4"/>
    <w:rsid w:val="7F741D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9214"/>
      </w:tabs>
      <w:ind w:left="424" w:leftChars="202"/>
      <w:jc w:val="left"/>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iPriority w:val="0"/>
  </w:style>
  <w:style w:type="character" w:styleId="11">
    <w:name w:val="Emphasis"/>
    <w:basedOn w:val="9"/>
    <w:uiPriority w:val="0"/>
    <w:rPr>
      <w:i/>
    </w:rPr>
  </w:style>
  <w:style w:type="character" w:styleId="12">
    <w:name w:val="Hyperlink"/>
    <w:basedOn w:val="9"/>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hps"/>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9</Pages>
  <Words>1548</Words>
  <Characters>7910</Characters>
  <Lines>18</Lines>
  <Paragraphs>5</Paragraphs>
  <TotalTime>0</TotalTime>
  <ScaleCrop>false</ScaleCrop>
  <LinksUpToDate>false</LinksUpToDate>
  <CharactersWithSpaces>9361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2016-03-21T03:18:00Z</dcterms:created>
  <dc:creator>微软用户</dc:creator>
  <cp:lastModifiedBy>曹文娅</cp:lastModifiedBy>
  <cp:lastPrinted>2025-03-04T09:04:00Z</cp:lastPrinted>
  <dcterms:modified xsi:type="dcterms:W3CDTF">2025-03-26T09:20:23Z</dcterms:modified>
  <dc:title>ZL-5096</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7659A7E1F516411F8BD95AA43C6C96BE_13</vt:lpwstr>
  </property>
  <property fmtid="{D5CDD505-2E9C-101B-9397-08002B2CF9AE}" pid="4" name="KSOTemplateDocerSaveRecord">
    <vt:lpwstr>eyJoZGlkIjoiOWEzYzRkODQyNDc4YTc4ZTEwZmIwMDE5NDE1ODQ0YjYiLCJ1c2VySWQiOiIxNDQ5Njk4OTAxIn0=</vt:lpwstr>
  </property>
</Properties>
</file>