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E92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53EF955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375180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TTL-5</w:t>
      </w:r>
    </w:p>
    <w:p w14:paraId="56BC827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Portable Ferromagnetic Wear Chips Measuring Instrument</w:t>
      </w:r>
    </w:p>
    <w:p w14:paraId="35C9746D">
      <w:pPr>
        <w:ind w:left="0" w:leftChars="0" w:hanging="8" w:firstLineChars="0"/>
        <w:jc w:val="center"/>
        <w:rPr>
          <w:rFonts w:hint="eastAsia" w:ascii="宋体" w:hAnsi="宋体" w:eastAsia="宋体" w:cs="微软雅黑"/>
          <w:b/>
          <w:color w:val="000000"/>
          <w:kern w:val="0"/>
          <w:sz w:val="44"/>
          <w:szCs w:val="44"/>
          <w:lang w:eastAsia="zh-CN"/>
        </w:rPr>
      </w:pPr>
      <w:bookmarkStart w:id="0" w:name="OLE_LINK60"/>
      <w:bookmarkStart w:id="1" w:name="OLE_LINK339"/>
      <w:bookmarkStart w:id="2" w:name="OLE_LINK61"/>
    </w:p>
    <w:p w14:paraId="0221A15B">
      <w:pPr>
        <w:ind w:left="0" w:leftChars="0" w:hanging="8" w:firstLineChars="0"/>
        <w:jc w:val="center"/>
        <w:rPr>
          <w:rFonts w:hint="eastAsia" w:ascii="宋体" w:hAnsi="宋体" w:eastAsia="宋体" w:cs="微软雅黑"/>
          <w:b/>
          <w:color w:val="000000"/>
          <w:kern w:val="0"/>
          <w:sz w:val="44"/>
          <w:szCs w:val="44"/>
          <w:lang w:eastAsia="zh-CN"/>
        </w:rPr>
      </w:pPr>
    </w:p>
    <w:p w14:paraId="377D75BF">
      <w:pPr>
        <w:ind w:left="0" w:leftChars="0" w:hanging="8" w:firstLineChars="0"/>
        <w:jc w:val="center"/>
        <w:rPr>
          <w:rFonts w:hint="eastAsia" w:ascii="宋体" w:hAnsi="宋体" w:eastAsia="宋体" w:cs="微软雅黑"/>
          <w:b/>
          <w:color w:val="000000"/>
          <w:kern w:val="0"/>
          <w:sz w:val="44"/>
          <w:szCs w:val="44"/>
          <w:lang w:eastAsia="zh-CN"/>
        </w:rPr>
      </w:pPr>
    </w:p>
    <w:p w14:paraId="15BE2255">
      <w:pPr>
        <w:ind w:left="0" w:leftChars="0" w:hanging="8" w:firstLineChars="0"/>
        <w:jc w:val="center"/>
        <w:rPr>
          <w:rFonts w:hint="eastAsia" w:ascii="宋体" w:hAnsi="宋体" w:eastAsia="宋体" w:cs="微软雅黑"/>
          <w:b/>
          <w:color w:val="000000"/>
          <w:kern w:val="0"/>
          <w:sz w:val="56"/>
          <w:szCs w:val="52"/>
          <w:lang w:val="en-US" w:eastAsia="zh-CN"/>
        </w:rPr>
      </w:pPr>
      <w:r>
        <w:rPr>
          <w:rFonts w:hint="eastAsia" w:ascii="宋体" w:hAnsi="宋体" w:eastAsia="宋体" w:cs="微软雅黑"/>
          <w:b/>
          <w:color w:val="000000"/>
          <w:kern w:val="0"/>
          <w:sz w:val="56"/>
          <w:szCs w:val="52"/>
          <w:lang w:val="en-US" w:eastAsia="zh-CN"/>
        </w:rPr>
        <w:t xml:space="preserve">   </w:t>
      </w:r>
    </w:p>
    <w:p w14:paraId="51A5E3D7">
      <w:pPr>
        <w:ind w:left="0" w:leftChars="0" w:hanging="8" w:firstLineChars="0"/>
        <w:jc w:val="center"/>
        <w:rPr>
          <w:rFonts w:hint="eastAsia" w:ascii="宋体" w:hAnsi="宋体" w:eastAsia="宋体" w:cs="微软雅黑"/>
          <w:b/>
          <w:color w:val="000000"/>
          <w:kern w:val="0"/>
          <w:sz w:val="56"/>
          <w:szCs w:val="52"/>
          <w:lang w:val="en-US" w:eastAsia="zh-CN"/>
        </w:rPr>
      </w:pPr>
    </w:p>
    <w:p w14:paraId="17B60ED0">
      <w:pPr>
        <w:ind w:left="0" w:leftChars="0" w:hanging="8" w:firstLineChars="0"/>
        <w:jc w:val="center"/>
        <w:rPr>
          <w:rFonts w:hint="eastAsia" w:ascii="宋体" w:hAnsi="宋体" w:eastAsia="宋体" w:cs="微软雅黑"/>
          <w:b/>
          <w:color w:val="000000"/>
          <w:kern w:val="0"/>
          <w:sz w:val="56"/>
          <w:szCs w:val="52"/>
          <w:lang w:val="en-US" w:eastAsia="zh-CN"/>
        </w:rPr>
      </w:pPr>
    </w:p>
    <w:p w14:paraId="7E257B9F">
      <w:pPr>
        <w:ind w:left="0" w:leftChars="0" w:hanging="8" w:firstLineChars="0"/>
        <w:jc w:val="center"/>
        <w:rPr>
          <w:rFonts w:hint="eastAsia" w:ascii="宋体" w:hAnsi="宋体" w:eastAsia="宋体" w:cs="微软雅黑"/>
          <w:b/>
          <w:color w:val="000000"/>
          <w:kern w:val="0"/>
          <w:sz w:val="56"/>
          <w:szCs w:val="52"/>
          <w:lang w:val="en-US" w:eastAsia="zh-CN"/>
        </w:rPr>
      </w:pPr>
    </w:p>
    <w:p w14:paraId="1F3E43FA">
      <w:pPr>
        <w:ind w:left="0" w:leftChars="0" w:hanging="8" w:firstLineChars="0"/>
        <w:jc w:val="center"/>
        <w:rPr>
          <w:rFonts w:hint="eastAsia" w:ascii="宋体" w:hAnsi="宋体" w:eastAsia="宋体" w:cs="微软雅黑"/>
          <w:b/>
          <w:color w:val="000000"/>
          <w:kern w:val="0"/>
          <w:sz w:val="56"/>
          <w:szCs w:val="52"/>
          <w:lang w:val="en-US" w:eastAsia="zh-CN"/>
        </w:rPr>
      </w:pPr>
    </w:p>
    <w:p w14:paraId="476E1568">
      <w:pPr>
        <w:ind w:left="0" w:leftChars="0" w:hanging="8" w:firstLineChars="0"/>
        <w:jc w:val="center"/>
        <w:rPr>
          <w:rFonts w:hint="eastAsia" w:ascii="宋体" w:hAnsi="宋体" w:eastAsia="宋体" w:cs="微软雅黑"/>
          <w:b/>
          <w:color w:val="000000"/>
          <w:kern w:val="0"/>
          <w:sz w:val="56"/>
          <w:szCs w:val="52"/>
          <w:lang w:val="en-US" w:eastAsia="zh-CN"/>
        </w:rPr>
      </w:pPr>
    </w:p>
    <w:p w14:paraId="1B29625F">
      <w:pPr>
        <w:ind w:left="0" w:leftChars="0" w:hanging="8" w:firstLineChars="0"/>
        <w:jc w:val="center"/>
        <w:rPr>
          <w:rFonts w:hint="eastAsia" w:ascii="宋体" w:hAnsi="宋体" w:eastAsia="宋体" w:cs="微软雅黑"/>
          <w:b/>
          <w:color w:val="000000"/>
          <w:kern w:val="0"/>
          <w:sz w:val="56"/>
          <w:szCs w:val="52"/>
          <w:lang w:val="en-US" w:eastAsia="zh-CN"/>
        </w:rPr>
      </w:pPr>
    </w:p>
    <w:bookmarkEnd w:id="0"/>
    <w:bookmarkEnd w:id="1"/>
    <w:bookmarkEnd w:id="2"/>
    <w:p w14:paraId="2572B1F5">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p>
    <w:p w14:paraId="1B32B325">
      <w:pPr>
        <w:spacing w:line="480" w:lineRule="auto"/>
        <w:ind w:left="0" w:leftChars="0"/>
        <w:jc w:val="center"/>
        <w:rPr>
          <w:rFonts w:hint="default" w:ascii="Arial" w:hAnsi="Arial" w:cs="Arial"/>
          <w:b/>
          <w:bCs/>
          <w:iCs/>
          <w:sz w:val="28"/>
          <w:szCs w:val="28"/>
        </w:rPr>
      </w:pPr>
    </w:p>
    <w:p w14:paraId="644E1D96">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278CF919">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3" w:name="_Toc501616117"/>
    </w:p>
    <w:bookmarkEnd w:id="3"/>
    <w:p w14:paraId="2E17D7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062985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Thank you for choosing </w:t>
      </w:r>
      <w:bookmarkStart w:id="9" w:name="_GoBack"/>
      <w:r>
        <w:rPr>
          <w:rFonts w:hint="default" w:ascii="Arial" w:hAnsi="Arial" w:eastAsia="宋体" w:cs="Arial"/>
          <w:b w:val="0"/>
          <w:bCs w:val="0"/>
          <w:spacing w:val="20"/>
          <w:sz w:val="21"/>
          <w:szCs w:val="21"/>
          <w:highlight w:val="none"/>
        </w:rPr>
        <w:t>TTL-5 Portable Ferromagnetic Wear Chips Measuring Instrument.</w:t>
      </w:r>
    </w:p>
    <w:bookmarkEnd w:id="9"/>
    <w:p w14:paraId="1DF023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6DD562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1C3747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633C55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9" w:type="first"/>
          <w:footerReference r:id="rId10"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570C058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14:paraId="2F677F67">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14:paraId="05990AC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lang w:val="en-US"/>
        </w:rPr>
      </w:pP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TOC \o "1-3" \h \u </w:instrText>
      </w:r>
      <w:r>
        <w:rPr>
          <w:rFonts w:hint="default" w:ascii="Arial" w:hAnsi="Arial" w:eastAsia="楷体" w:cs="Arial"/>
          <w:szCs w:val="21"/>
          <w:lang w:val="en-US"/>
        </w:rPr>
        <w:fldChar w:fldCharType="separate"/>
      </w: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HYPERLINK \l _Toc15369 </w:instrText>
      </w:r>
      <w:r>
        <w:rPr>
          <w:rFonts w:hint="default" w:ascii="Arial" w:hAnsi="Arial" w:eastAsia="楷体" w:cs="Arial"/>
          <w:szCs w:val="21"/>
          <w:lang w:val="en-US"/>
        </w:rPr>
        <w:fldChar w:fldCharType="separate"/>
      </w:r>
      <w:r>
        <w:rPr>
          <w:rFonts w:hint="default" w:ascii="Arial" w:hAnsi="Arial" w:eastAsia="楷体" w:cs="Arial"/>
          <w:szCs w:val="21"/>
          <w:lang w:val="en-US"/>
        </w:rPr>
        <w:t>I. Product Introduction</w:t>
      </w:r>
      <w:r>
        <w:rPr>
          <w:rFonts w:hint="default" w:ascii="Arial" w:hAnsi="Arial" w:eastAsia="楷体" w:cs="Arial"/>
          <w:szCs w:val="21"/>
          <w:lang w:val="en-US"/>
        </w:rPr>
        <w:tab/>
      </w: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PAGEREF _Toc15369 \h </w:instrText>
      </w:r>
      <w:r>
        <w:rPr>
          <w:rFonts w:hint="default" w:ascii="Arial" w:hAnsi="Arial" w:eastAsia="楷体" w:cs="Arial"/>
          <w:szCs w:val="21"/>
          <w:lang w:val="en-US"/>
        </w:rPr>
        <w:fldChar w:fldCharType="separate"/>
      </w:r>
      <w:r>
        <w:rPr>
          <w:rFonts w:hint="default" w:ascii="Arial" w:hAnsi="Arial" w:eastAsia="楷体" w:cs="Arial"/>
          <w:szCs w:val="21"/>
          <w:lang w:val="en-US"/>
        </w:rPr>
        <w:t>1</w:t>
      </w:r>
      <w:r>
        <w:rPr>
          <w:rFonts w:hint="default" w:ascii="Arial" w:hAnsi="Arial" w:eastAsia="楷体" w:cs="Arial"/>
          <w:szCs w:val="21"/>
          <w:lang w:val="en-US"/>
        </w:rPr>
        <w:fldChar w:fldCharType="end"/>
      </w:r>
      <w:r>
        <w:rPr>
          <w:rFonts w:hint="default" w:ascii="Arial" w:hAnsi="Arial" w:eastAsia="楷体" w:cs="Arial"/>
          <w:szCs w:val="21"/>
          <w:lang w:val="en-US"/>
        </w:rPr>
        <w:fldChar w:fldCharType="end"/>
      </w:r>
    </w:p>
    <w:p w14:paraId="7DECFF95">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lang w:val="en-US"/>
        </w:rPr>
      </w:pP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HYPERLINK \l _Toc19342 </w:instrText>
      </w:r>
      <w:r>
        <w:rPr>
          <w:rFonts w:hint="default" w:ascii="Arial" w:hAnsi="Arial" w:eastAsia="楷体" w:cs="Arial"/>
          <w:szCs w:val="21"/>
          <w:lang w:val="en-US"/>
        </w:rPr>
        <w:fldChar w:fldCharType="separate"/>
      </w:r>
      <w:r>
        <w:rPr>
          <w:rFonts w:hint="default" w:ascii="Arial" w:hAnsi="Arial" w:eastAsia="楷体" w:cs="Arial"/>
          <w:szCs w:val="21"/>
          <w:lang w:val="en-US"/>
        </w:rPr>
        <w:t>II. Technical Parameters</w:t>
      </w:r>
      <w:r>
        <w:rPr>
          <w:rFonts w:hint="default" w:ascii="Arial" w:hAnsi="Arial" w:eastAsia="楷体" w:cs="Arial"/>
          <w:szCs w:val="21"/>
          <w:lang w:val="en-US"/>
        </w:rPr>
        <w:tab/>
      </w: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PAGEREF _Toc19342 \h </w:instrText>
      </w:r>
      <w:r>
        <w:rPr>
          <w:rFonts w:hint="default" w:ascii="Arial" w:hAnsi="Arial" w:eastAsia="楷体" w:cs="Arial"/>
          <w:szCs w:val="21"/>
          <w:lang w:val="en-US"/>
        </w:rPr>
        <w:fldChar w:fldCharType="separate"/>
      </w:r>
      <w:r>
        <w:rPr>
          <w:rFonts w:hint="default" w:ascii="Arial" w:hAnsi="Arial" w:eastAsia="楷体" w:cs="Arial"/>
          <w:szCs w:val="21"/>
          <w:lang w:val="en-US"/>
        </w:rPr>
        <w:t>2</w:t>
      </w:r>
      <w:r>
        <w:rPr>
          <w:rFonts w:hint="default" w:ascii="Arial" w:hAnsi="Arial" w:eastAsia="楷体" w:cs="Arial"/>
          <w:szCs w:val="21"/>
          <w:lang w:val="en-US"/>
        </w:rPr>
        <w:fldChar w:fldCharType="end"/>
      </w:r>
      <w:r>
        <w:rPr>
          <w:rFonts w:hint="default" w:ascii="Arial" w:hAnsi="Arial" w:eastAsia="楷体" w:cs="Arial"/>
          <w:szCs w:val="21"/>
          <w:lang w:val="en-US"/>
        </w:rPr>
        <w:fldChar w:fldCharType="end"/>
      </w:r>
    </w:p>
    <w:p w14:paraId="2400F19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lang w:val="en-US"/>
        </w:rPr>
      </w:pP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HYPERLINK \l _Toc27844 </w:instrText>
      </w:r>
      <w:r>
        <w:rPr>
          <w:rFonts w:hint="default" w:ascii="Arial" w:hAnsi="Arial" w:eastAsia="楷体" w:cs="Arial"/>
          <w:szCs w:val="21"/>
          <w:lang w:val="en-US"/>
        </w:rPr>
        <w:fldChar w:fldCharType="separate"/>
      </w:r>
      <w:r>
        <w:rPr>
          <w:rFonts w:hint="default" w:ascii="Arial" w:hAnsi="Arial" w:eastAsia="楷体" w:cs="Arial"/>
          <w:szCs w:val="21"/>
          <w:lang w:val="en-US"/>
        </w:rPr>
        <w:t>III. Features</w:t>
      </w:r>
      <w:r>
        <w:rPr>
          <w:rFonts w:hint="default" w:ascii="Arial" w:hAnsi="Arial" w:eastAsia="楷体" w:cs="Arial"/>
          <w:szCs w:val="21"/>
          <w:lang w:val="en-US"/>
        </w:rPr>
        <w:tab/>
      </w: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PAGEREF _Toc27844 \h </w:instrText>
      </w:r>
      <w:r>
        <w:rPr>
          <w:rFonts w:hint="default" w:ascii="Arial" w:hAnsi="Arial" w:eastAsia="楷体" w:cs="Arial"/>
          <w:szCs w:val="21"/>
          <w:lang w:val="en-US"/>
        </w:rPr>
        <w:fldChar w:fldCharType="separate"/>
      </w:r>
      <w:r>
        <w:rPr>
          <w:rFonts w:hint="default" w:ascii="Arial" w:hAnsi="Arial" w:eastAsia="楷体" w:cs="Arial"/>
          <w:szCs w:val="21"/>
          <w:lang w:val="en-US"/>
        </w:rPr>
        <w:t>2</w:t>
      </w:r>
      <w:r>
        <w:rPr>
          <w:rFonts w:hint="default" w:ascii="Arial" w:hAnsi="Arial" w:eastAsia="楷体" w:cs="Arial"/>
          <w:szCs w:val="21"/>
          <w:lang w:val="en-US"/>
        </w:rPr>
        <w:fldChar w:fldCharType="end"/>
      </w:r>
      <w:r>
        <w:rPr>
          <w:rFonts w:hint="default" w:ascii="Arial" w:hAnsi="Arial" w:eastAsia="楷体" w:cs="Arial"/>
          <w:szCs w:val="21"/>
          <w:lang w:val="en-US"/>
        </w:rPr>
        <w:fldChar w:fldCharType="end"/>
      </w:r>
    </w:p>
    <w:p w14:paraId="509ECDF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eastAsia="楷体" w:cs="Arial"/>
          <w:szCs w:val="21"/>
          <w:lang w:val="en-US"/>
        </w:rPr>
      </w:pP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HYPERLINK \l _Toc18055 </w:instrText>
      </w:r>
      <w:r>
        <w:rPr>
          <w:rFonts w:hint="default" w:ascii="Arial" w:hAnsi="Arial" w:eastAsia="楷体" w:cs="Arial"/>
          <w:szCs w:val="21"/>
          <w:lang w:val="en-US"/>
        </w:rPr>
        <w:fldChar w:fldCharType="separate"/>
      </w:r>
      <w:r>
        <w:rPr>
          <w:rFonts w:hint="default" w:ascii="Arial" w:hAnsi="Arial" w:eastAsia="楷体" w:cs="Arial"/>
          <w:szCs w:val="21"/>
          <w:lang w:val="en-US"/>
        </w:rPr>
        <w:t>IV. Packing List</w:t>
      </w:r>
      <w:r>
        <w:rPr>
          <w:rFonts w:hint="default" w:ascii="Arial" w:hAnsi="Arial" w:eastAsia="楷体" w:cs="Arial"/>
          <w:szCs w:val="21"/>
          <w:lang w:val="en-US"/>
        </w:rPr>
        <w:tab/>
      </w:r>
      <w:r>
        <w:rPr>
          <w:rFonts w:hint="default" w:ascii="Arial" w:hAnsi="Arial" w:eastAsia="楷体" w:cs="Arial"/>
          <w:szCs w:val="21"/>
          <w:lang w:val="en-US"/>
        </w:rPr>
        <w:fldChar w:fldCharType="begin"/>
      </w:r>
      <w:r>
        <w:rPr>
          <w:rFonts w:hint="default" w:ascii="Arial" w:hAnsi="Arial" w:eastAsia="楷体" w:cs="Arial"/>
          <w:szCs w:val="21"/>
          <w:lang w:val="en-US"/>
        </w:rPr>
        <w:instrText xml:space="preserve"> PAGEREF _Toc18055 \h </w:instrText>
      </w:r>
      <w:r>
        <w:rPr>
          <w:rFonts w:hint="default" w:ascii="Arial" w:hAnsi="Arial" w:eastAsia="楷体" w:cs="Arial"/>
          <w:szCs w:val="21"/>
          <w:lang w:val="en-US"/>
        </w:rPr>
        <w:fldChar w:fldCharType="separate"/>
      </w:r>
      <w:r>
        <w:rPr>
          <w:rFonts w:hint="default" w:ascii="Arial" w:hAnsi="Arial" w:eastAsia="楷体" w:cs="Arial"/>
          <w:szCs w:val="21"/>
          <w:lang w:val="en-US"/>
        </w:rPr>
        <w:t>3</w:t>
      </w:r>
      <w:r>
        <w:rPr>
          <w:rFonts w:hint="default" w:ascii="Arial" w:hAnsi="Arial" w:eastAsia="楷体" w:cs="Arial"/>
          <w:szCs w:val="21"/>
          <w:lang w:val="en-US"/>
        </w:rPr>
        <w:fldChar w:fldCharType="end"/>
      </w:r>
      <w:r>
        <w:rPr>
          <w:rFonts w:hint="default" w:ascii="Arial" w:hAnsi="Arial" w:eastAsia="楷体" w:cs="Arial"/>
          <w:szCs w:val="21"/>
          <w:lang w:val="en-US"/>
        </w:rPr>
        <w:fldChar w:fldCharType="end"/>
      </w:r>
    </w:p>
    <w:p w14:paraId="7C38580F">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firstLine="0" w:firstLineChars="0"/>
        <w:textAlignment w:val="auto"/>
        <w:rPr>
          <w:rFonts w:hint="default" w:ascii="Arial" w:hAnsi="Arial" w:cs="Arial"/>
          <w:sz w:val="21"/>
          <w:szCs w:val="21"/>
        </w:rPr>
      </w:pPr>
      <w:r>
        <w:rPr>
          <w:rFonts w:hint="default" w:ascii="Arial" w:hAnsi="Arial" w:eastAsia="楷体" w:cs="Arial"/>
          <w:szCs w:val="21"/>
          <w:lang w:val="en-US"/>
        </w:rPr>
        <w:fldChar w:fldCharType="end"/>
      </w:r>
    </w:p>
    <w:p w14:paraId="20F1212D">
      <w:pPr>
        <w:spacing w:before="100" w:beforeAutospacing="1" w:after="100" w:afterAutospacing="1" w:line="300" w:lineRule="auto"/>
        <w:ind w:left="0" w:leftChars="0" w:firstLine="210" w:firstLineChars="100"/>
        <w:rPr>
          <w:rFonts w:hint="default" w:ascii="Arial" w:hAnsi="Arial" w:cs="Arial"/>
          <w:sz w:val="21"/>
          <w:szCs w:val="21"/>
        </w:rPr>
      </w:pPr>
    </w:p>
    <w:p w14:paraId="3CB523D4">
      <w:pPr>
        <w:spacing w:before="100" w:beforeAutospacing="1" w:after="100" w:afterAutospacing="1" w:line="300" w:lineRule="auto"/>
        <w:ind w:left="0" w:leftChars="0" w:firstLine="210" w:firstLineChars="100"/>
        <w:rPr>
          <w:rFonts w:hint="default" w:ascii="Arial" w:hAnsi="Arial" w:cs="Arial"/>
          <w:sz w:val="21"/>
          <w:szCs w:val="21"/>
        </w:rPr>
      </w:pPr>
    </w:p>
    <w:p w14:paraId="0463ADCA">
      <w:pPr>
        <w:spacing w:before="100" w:beforeAutospacing="1" w:after="100" w:afterAutospacing="1" w:line="300" w:lineRule="auto"/>
        <w:ind w:left="0" w:leftChars="0" w:firstLine="210" w:firstLineChars="100"/>
        <w:rPr>
          <w:rFonts w:hint="default" w:ascii="Arial" w:hAnsi="Arial" w:cs="Arial"/>
          <w:sz w:val="21"/>
          <w:szCs w:val="21"/>
        </w:rPr>
      </w:pPr>
    </w:p>
    <w:p w14:paraId="74CAB176">
      <w:pPr>
        <w:spacing w:before="100" w:beforeAutospacing="1" w:after="100" w:afterAutospacing="1" w:line="300" w:lineRule="auto"/>
        <w:ind w:left="0" w:leftChars="0" w:firstLine="210" w:firstLineChars="100"/>
        <w:rPr>
          <w:rFonts w:hint="default" w:ascii="Arial" w:hAnsi="Arial" w:cs="Arial"/>
          <w:sz w:val="21"/>
          <w:szCs w:val="21"/>
        </w:rPr>
      </w:pPr>
    </w:p>
    <w:p w14:paraId="3D9D3581">
      <w:pPr>
        <w:spacing w:before="100" w:beforeAutospacing="1" w:after="100" w:afterAutospacing="1" w:line="300" w:lineRule="auto"/>
        <w:ind w:left="0" w:leftChars="0" w:firstLine="210" w:firstLineChars="100"/>
        <w:rPr>
          <w:rFonts w:hint="default" w:ascii="Arial" w:hAnsi="Arial" w:cs="Arial"/>
          <w:sz w:val="21"/>
          <w:szCs w:val="21"/>
        </w:rPr>
      </w:pPr>
    </w:p>
    <w:p w14:paraId="3E57BFC0">
      <w:pPr>
        <w:spacing w:before="100" w:beforeAutospacing="1" w:after="100" w:afterAutospacing="1" w:line="300" w:lineRule="auto"/>
        <w:ind w:left="0" w:leftChars="0" w:firstLine="210" w:firstLineChars="100"/>
        <w:rPr>
          <w:rFonts w:hint="default" w:ascii="Arial" w:hAnsi="Arial" w:cs="Arial"/>
          <w:sz w:val="21"/>
          <w:szCs w:val="21"/>
        </w:rPr>
      </w:pPr>
    </w:p>
    <w:p w14:paraId="0CD5C6EE">
      <w:pPr>
        <w:spacing w:before="100" w:beforeAutospacing="1" w:after="100" w:afterAutospacing="1" w:line="300" w:lineRule="auto"/>
        <w:ind w:left="0" w:leftChars="0" w:firstLine="210" w:firstLineChars="100"/>
        <w:rPr>
          <w:rFonts w:hint="default" w:ascii="Arial" w:hAnsi="Arial" w:cs="Arial"/>
          <w:sz w:val="21"/>
          <w:szCs w:val="21"/>
        </w:rPr>
      </w:pPr>
    </w:p>
    <w:p w14:paraId="2C54F5D2">
      <w:pPr>
        <w:spacing w:before="100" w:beforeAutospacing="1" w:after="100" w:afterAutospacing="1" w:line="300" w:lineRule="auto"/>
        <w:ind w:left="0" w:leftChars="0" w:firstLine="210" w:firstLineChars="100"/>
        <w:rPr>
          <w:rFonts w:hint="default" w:ascii="Arial" w:hAnsi="Arial" w:cs="Arial"/>
          <w:sz w:val="21"/>
          <w:szCs w:val="21"/>
        </w:rPr>
      </w:pPr>
    </w:p>
    <w:p w14:paraId="03FC2C30">
      <w:pPr>
        <w:spacing w:before="100" w:beforeAutospacing="1" w:after="100" w:afterAutospacing="1" w:line="300" w:lineRule="auto"/>
        <w:ind w:left="0" w:leftChars="0" w:firstLine="210" w:firstLineChars="100"/>
        <w:rPr>
          <w:rFonts w:hint="default" w:ascii="Arial" w:hAnsi="Arial" w:cs="Arial"/>
          <w:sz w:val="21"/>
          <w:szCs w:val="21"/>
        </w:rPr>
      </w:pPr>
    </w:p>
    <w:p w14:paraId="10D2386E">
      <w:pPr>
        <w:spacing w:before="100" w:beforeAutospacing="1" w:after="100" w:afterAutospacing="1" w:line="300" w:lineRule="auto"/>
        <w:ind w:left="0" w:leftChars="0" w:firstLine="210" w:firstLineChars="100"/>
        <w:rPr>
          <w:rFonts w:hint="default" w:ascii="Arial" w:hAnsi="Arial" w:cs="Arial"/>
          <w:sz w:val="21"/>
          <w:szCs w:val="21"/>
        </w:rPr>
      </w:pPr>
    </w:p>
    <w:p w14:paraId="36E5FC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sectPr>
          <w:headerReference r:id="rId11" w:type="first"/>
          <w:footerReference r:id="rId13" w:type="firs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5F8A1A67">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4" w:name="_Toc15369"/>
      <w:r>
        <w:rPr>
          <w:rFonts w:hint="default" w:ascii="Arial" w:hAnsi="Arial" w:cs="Arial"/>
          <w:sz w:val="32"/>
          <w:szCs w:val="32"/>
        </w:rPr>
        <w:t>Product Introduction</w:t>
      </w:r>
      <w:bookmarkEnd w:id="4"/>
    </w:p>
    <w:p w14:paraId="750686D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rPr>
      </w:pPr>
      <w:r>
        <w:rPr>
          <w:rFonts w:hint="default" w:ascii="Arial" w:hAnsi="Arial" w:cs="Arial"/>
          <w:sz w:val="21"/>
          <w:szCs w:val="21"/>
        </w:rPr>
        <w:t xml:space="preserve">The main ways of mechanical equipment failure are wear, corrosion and fracture. Among them, wear failure accounts for as much as 60%-80% of the impact on mechanical equipment failure. Lubricating oil is the blood of mechanical equipment, and plays the role of sealing, lubrication, cleaning, cooling and corrosion prevention in mechanical equipment. Lubricating oil contains mechanical wear information, that is, the friction and wear characteristics of the friction pair surface material. By monitoring the lubricating oil, </w:t>
      </w:r>
      <w:r>
        <w:rPr>
          <w:rFonts w:hint="default" w:ascii="Arial" w:hAnsi="Arial" w:cs="Arial"/>
          <w:sz w:val="21"/>
          <w:szCs w:val="21"/>
          <w:lang w:val="en-US" w:eastAsia="zh-CN"/>
        </w:rPr>
        <w:t>it can</w:t>
      </w:r>
      <w:r>
        <w:rPr>
          <w:rFonts w:hint="default" w:ascii="Arial" w:hAnsi="Arial" w:cs="Arial"/>
          <w:sz w:val="21"/>
          <w:szCs w:val="21"/>
        </w:rPr>
        <w:t xml:space="preserve"> detect the contamination of the lubricating oil itself and analyze the wear state of the machine. The concentration of ferromagnetic particles in the lubricating oil is one of the direct indicators of the degree of wear of the controlled equipment. By performing daily ferromagnetic particle concentration analysis on the oil in use, the abnormal degree of wear of the equipment can be quickly identified to avoid unplanned downtime.</w:t>
      </w:r>
    </w:p>
    <w:p w14:paraId="24D2C5F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rPr>
      </w:pPr>
      <w:r>
        <w:rPr>
          <w:rFonts w:hint="default" w:ascii="Arial" w:hAnsi="Arial" w:cs="Arial"/>
          <w:sz w:val="21"/>
          <w:szCs w:val="21"/>
        </w:rPr>
        <w:t>In terms of detection methods, the current iron content detection mainly includes atomic absorption method and atomic emission method. Although the atomic absorption spectrometry method is accurate, it is slow and complicated to operate. The atomic emission spectrometry method has been widely used, but it cannot effectively detect large wear particles (whether it is a rotating disk electrode or an inductive ion coupling method). It is not sensitive to large particles, which is sometimes fatal in monitoring and diagnosis, because the particles of normal wear of friction pairs are generally less than 10μm, while metal particles greater than 15μm are produced by abnormal wear.</w:t>
      </w:r>
    </w:p>
    <w:p w14:paraId="7443FA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Arial" w:hAnsi="Arial" w:cs="Arial"/>
          <w:sz w:val="21"/>
          <w:szCs w:val="21"/>
        </w:rPr>
      </w:pPr>
      <w:r>
        <w:rPr>
          <w:rFonts w:hint="default" w:ascii="Arial" w:hAnsi="Arial" w:cs="Arial"/>
          <w:sz w:val="21"/>
          <w:szCs w:val="21"/>
        </w:rPr>
        <w:t xml:space="preserve">Portable ferromagnetic wear debris measuring instrument </w:t>
      </w:r>
      <w:r>
        <w:rPr>
          <w:rFonts w:hint="default" w:ascii="Arial" w:hAnsi="Arial" w:cs="Arial"/>
          <w:sz w:val="21"/>
          <w:szCs w:val="21"/>
          <w:lang w:val="en-US" w:eastAsia="zh-CN"/>
        </w:rPr>
        <w:t xml:space="preserve">TTL-5 </w:t>
      </w:r>
      <w:r>
        <w:rPr>
          <w:rFonts w:hint="default" w:ascii="Arial" w:hAnsi="Arial" w:cs="Arial"/>
          <w:sz w:val="21"/>
          <w:szCs w:val="21"/>
        </w:rPr>
        <w:t>uses the electromagnetic induction principle to measure the wear debris content by using the magnetic field change of the sensor coil caused by the ferromagnetic wear debris in the oil sample. It has a good linear relationship with the iron content and particle size of the oil sample. It has high sensitivity, accuracy and repeatability. It does not require sample pretreatment or organic solvents. It can measure the accurate content of ferromagnetic metal abrasive particles in various oil samples within a few seconds. The measurement results are directly expressed in actual concentration values (mg/L or ppm), which facilitates the user's interpretation and analysis of the data. It is widely used in defense, aerospace, shipbuilding, electric power, petrochemical, metallurgy, mining, road transportation and other fields.</w:t>
      </w:r>
    </w:p>
    <w:p w14:paraId="65CEB8D7">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5" w:name="_Toc19342"/>
      <w:r>
        <w:rPr>
          <w:rFonts w:hint="default" w:ascii="Arial" w:hAnsi="Arial" w:cs="Arial"/>
          <w:sz w:val="32"/>
          <w:szCs w:val="32"/>
        </w:rPr>
        <w:t>Technical Parameters</w:t>
      </w:r>
      <w:bookmarkEnd w:id="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4362"/>
      </w:tblGrid>
      <w:tr w14:paraId="6872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419B092A">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Function</w:t>
            </w:r>
          </w:p>
        </w:tc>
        <w:tc>
          <w:tcPr>
            <w:tcW w:w="4362" w:type="dxa"/>
            <w:vAlign w:val="center"/>
          </w:tcPr>
          <w:p w14:paraId="7FC9218F">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parameter</w:t>
            </w:r>
          </w:p>
        </w:tc>
      </w:tr>
      <w:tr w14:paraId="7577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5E1EC21F">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Scope of use</w:t>
            </w:r>
          </w:p>
        </w:tc>
        <w:tc>
          <w:tcPr>
            <w:tcW w:w="4362" w:type="dxa"/>
            <w:vAlign w:val="center"/>
          </w:tcPr>
          <w:p w14:paraId="56B8418F">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Oils and Greases</w:t>
            </w:r>
          </w:p>
        </w:tc>
      </w:tr>
      <w:tr w14:paraId="6291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6D5F5016">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pacing w:val="-8"/>
                <w:sz w:val="21"/>
                <w:szCs w:val="21"/>
              </w:rPr>
              <w:t>Output</w:t>
            </w:r>
          </w:p>
        </w:tc>
        <w:tc>
          <w:tcPr>
            <w:tcW w:w="4362" w:type="dxa"/>
            <w:vAlign w:val="center"/>
          </w:tcPr>
          <w:p w14:paraId="5EB8C4C3">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pacing w:val="-8"/>
                <w:sz w:val="21"/>
                <w:szCs w:val="21"/>
              </w:rPr>
              <w:t>Total ferromagnetic particle content, ferromagnetic particle concentration</w:t>
            </w:r>
          </w:p>
        </w:tc>
      </w:tr>
      <w:tr w14:paraId="3FFB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46EB667B">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Detection Methods</w:t>
            </w:r>
          </w:p>
        </w:tc>
        <w:tc>
          <w:tcPr>
            <w:tcW w:w="4362" w:type="dxa"/>
            <w:vAlign w:val="center"/>
          </w:tcPr>
          <w:p w14:paraId="1A75F901">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ASTM D8120</w:t>
            </w:r>
          </w:p>
        </w:tc>
      </w:tr>
      <w:tr w14:paraId="190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61966DA4">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Detection range</w:t>
            </w:r>
          </w:p>
        </w:tc>
        <w:tc>
          <w:tcPr>
            <w:tcW w:w="4362" w:type="dxa"/>
            <w:vAlign w:val="center"/>
          </w:tcPr>
          <w:p w14:paraId="578B1A24">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0-5500ppm</w:t>
            </w:r>
          </w:p>
        </w:tc>
      </w:tr>
      <w:tr w14:paraId="7074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3C06A89B">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Resolution</w:t>
            </w:r>
          </w:p>
        </w:tc>
        <w:tc>
          <w:tcPr>
            <w:tcW w:w="4362" w:type="dxa"/>
            <w:vAlign w:val="center"/>
          </w:tcPr>
          <w:p w14:paraId="413F0CA7">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1ppm</w:t>
            </w:r>
          </w:p>
        </w:tc>
      </w:tr>
      <w:tr w14:paraId="4343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2ECEB0EA">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Detection accuracy</w:t>
            </w:r>
          </w:p>
        </w:tc>
        <w:tc>
          <w:tcPr>
            <w:tcW w:w="4362" w:type="dxa"/>
            <w:vAlign w:val="center"/>
          </w:tcPr>
          <w:p w14:paraId="2BB02729">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pacing w:val="-8"/>
                <w:sz w:val="21"/>
                <w:szCs w:val="21"/>
              </w:rPr>
              <w:t>±3%</w:t>
            </w:r>
          </w:p>
        </w:tc>
      </w:tr>
      <w:tr w14:paraId="7D4E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72" w:type="dxa"/>
            <w:vAlign w:val="center"/>
          </w:tcPr>
          <w:p w14:paraId="4E268A5E">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pacing w:val="-8"/>
                <w:sz w:val="21"/>
                <w:szCs w:val="21"/>
              </w:rPr>
            </w:pPr>
            <w:r>
              <w:rPr>
                <w:rFonts w:hint="default" w:ascii="Arial" w:hAnsi="Arial" w:cs="Arial"/>
                <w:spacing w:val="-8"/>
                <w:sz w:val="21"/>
                <w:szCs w:val="21"/>
              </w:rPr>
              <w:t>Sampling volume</w:t>
            </w:r>
          </w:p>
        </w:tc>
        <w:tc>
          <w:tcPr>
            <w:tcW w:w="4362" w:type="dxa"/>
            <w:vAlign w:val="center"/>
          </w:tcPr>
          <w:p w14:paraId="3056F186">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pacing w:val="-8"/>
                <w:sz w:val="21"/>
                <w:szCs w:val="21"/>
              </w:rPr>
            </w:pPr>
            <w:r>
              <w:rPr>
                <w:rFonts w:hint="default" w:ascii="Arial" w:hAnsi="Arial" w:cs="Arial"/>
                <w:spacing w:val="-8"/>
                <w:sz w:val="21"/>
                <w:szCs w:val="21"/>
              </w:rPr>
              <w:t>2mL</w:t>
            </w:r>
          </w:p>
        </w:tc>
      </w:tr>
      <w:tr w14:paraId="5828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72" w:type="dxa"/>
            <w:vAlign w:val="center"/>
          </w:tcPr>
          <w:p w14:paraId="47C9C2BF">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pacing w:val="-8"/>
                <w:sz w:val="21"/>
                <w:szCs w:val="21"/>
              </w:rPr>
            </w:pPr>
            <w:r>
              <w:rPr>
                <w:rFonts w:hint="default" w:ascii="Arial" w:hAnsi="Arial" w:cs="Arial"/>
                <w:spacing w:val="-8"/>
                <w:sz w:val="21"/>
                <w:szCs w:val="21"/>
              </w:rPr>
              <w:t>Detection speed</w:t>
            </w:r>
          </w:p>
        </w:tc>
        <w:tc>
          <w:tcPr>
            <w:tcW w:w="4362" w:type="dxa"/>
            <w:vAlign w:val="center"/>
          </w:tcPr>
          <w:p w14:paraId="4E6BB2C2">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pacing w:val="-8"/>
                <w:sz w:val="21"/>
                <w:szCs w:val="21"/>
              </w:rPr>
            </w:pPr>
            <w:r>
              <w:rPr>
                <w:rFonts w:hint="default" w:ascii="Arial" w:hAnsi="Arial" w:cs="Arial"/>
                <w:spacing w:val="-8"/>
                <w:sz w:val="21"/>
                <w:szCs w:val="21"/>
              </w:rPr>
              <w:t>&lt;5 seconds</w:t>
            </w:r>
          </w:p>
        </w:tc>
      </w:tr>
      <w:tr w14:paraId="0987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5D00AEE9">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pacing w:val="-8"/>
                <w:sz w:val="21"/>
                <w:szCs w:val="21"/>
              </w:rPr>
            </w:pPr>
            <w:r>
              <w:rPr>
                <w:rFonts w:hint="default" w:ascii="Arial" w:hAnsi="Arial" w:cs="Arial"/>
                <w:spacing w:val="-8"/>
                <w:sz w:val="21"/>
                <w:szCs w:val="21"/>
              </w:rPr>
              <w:t>Measurement accuracy</w:t>
            </w:r>
          </w:p>
        </w:tc>
        <w:tc>
          <w:tcPr>
            <w:tcW w:w="4362" w:type="dxa"/>
            <w:vAlign w:val="center"/>
          </w:tcPr>
          <w:p w14:paraId="197697C5">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pacing w:val="-8"/>
                <w:sz w:val="21"/>
                <w:szCs w:val="21"/>
              </w:rPr>
            </w:pPr>
            <w:r>
              <w:rPr>
                <w:rFonts w:hint="default" w:ascii="Arial" w:hAnsi="Arial" w:cs="Arial"/>
                <w:spacing w:val="-8"/>
                <w:sz w:val="21"/>
                <w:szCs w:val="21"/>
              </w:rPr>
              <w:t>±3%</w:t>
            </w:r>
          </w:p>
        </w:tc>
      </w:tr>
      <w:tr w14:paraId="49CE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4F3D22A5">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Display</w:t>
            </w:r>
          </w:p>
        </w:tc>
        <w:tc>
          <w:tcPr>
            <w:tcW w:w="4362" w:type="dxa"/>
            <w:vAlign w:val="center"/>
          </w:tcPr>
          <w:p w14:paraId="41FA267A">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5-inch touch screen</w:t>
            </w:r>
          </w:p>
        </w:tc>
      </w:tr>
      <w:tr w14:paraId="18D2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6CF06F00">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Storage Space</w:t>
            </w:r>
          </w:p>
        </w:tc>
        <w:tc>
          <w:tcPr>
            <w:tcW w:w="4362" w:type="dxa"/>
            <w:vAlign w:val="center"/>
          </w:tcPr>
          <w:p w14:paraId="747A4E45">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32G</w:t>
            </w:r>
          </w:p>
        </w:tc>
      </w:tr>
      <w:tr w14:paraId="3979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54B0F913">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Battery capacity</w:t>
            </w:r>
          </w:p>
        </w:tc>
        <w:tc>
          <w:tcPr>
            <w:tcW w:w="4362" w:type="dxa"/>
            <w:vAlign w:val="center"/>
          </w:tcPr>
          <w:p w14:paraId="07E3678C">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3400mAh</w:t>
            </w:r>
          </w:p>
        </w:tc>
      </w:tr>
      <w:tr w14:paraId="7442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3CAB216C">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Operating temperature</w:t>
            </w:r>
          </w:p>
        </w:tc>
        <w:tc>
          <w:tcPr>
            <w:tcW w:w="4362" w:type="dxa"/>
            <w:vAlign w:val="center"/>
          </w:tcPr>
          <w:p w14:paraId="2DA563BA">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0℃～50℃</w:t>
            </w:r>
          </w:p>
        </w:tc>
      </w:tr>
      <w:tr w14:paraId="4E46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64C50BCE">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Host size</w:t>
            </w:r>
          </w:p>
        </w:tc>
        <w:tc>
          <w:tcPr>
            <w:tcW w:w="4362" w:type="dxa"/>
            <w:vAlign w:val="center"/>
          </w:tcPr>
          <w:p w14:paraId="59AAB905">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255*215*130</w:t>
            </w:r>
          </w:p>
        </w:tc>
      </w:tr>
      <w:tr w14:paraId="52EF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72" w:type="dxa"/>
            <w:vAlign w:val="center"/>
          </w:tcPr>
          <w:p w14:paraId="0C51AAE1">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Weight (net weight)</w:t>
            </w:r>
          </w:p>
        </w:tc>
        <w:tc>
          <w:tcPr>
            <w:tcW w:w="4362" w:type="dxa"/>
            <w:vAlign w:val="center"/>
          </w:tcPr>
          <w:p w14:paraId="6D4F87DE">
            <w:pPr>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cs="Arial"/>
                <w:sz w:val="21"/>
                <w:szCs w:val="21"/>
              </w:rPr>
            </w:pPr>
            <w:r>
              <w:rPr>
                <w:rFonts w:hint="default" w:ascii="Arial" w:hAnsi="Arial" w:cs="Arial"/>
                <w:sz w:val="21"/>
                <w:szCs w:val="21"/>
              </w:rPr>
              <w:t>2.85kg</w:t>
            </w:r>
          </w:p>
        </w:tc>
      </w:tr>
    </w:tbl>
    <w:p w14:paraId="3E9B496D">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6" w:name="_Toc27844"/>
      <w:bookmarkStart w:id="7" w:name="OLE_LINK4"/>
      <w:r>
        <w:rPr>
          <w:rFonts w:hint="default" w:ascii="Arial" w:hAnsi="Arial" w:cs="Arial"/>
          <w:sz w:val="32"/>
          <w:szCs w:val="32"/>
        </w:rPr>
        <w:t>Features</w:t>
      </w:r>
      <w:bookmarkEnd w:id="6"/>
    </w:p>
    <w:bookmarkEnd w:id="7"/>
    <w:p w14:paraId="696C6BC1">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1. Rapid quantitative determination of the total amount of large-sized ferromagnetic particles in equipment oil</w:t>
      </w:r>
    </w:p>
    <w:p w14:paraId="4BF21BC3">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2. High sensitivity, resolution up to 1ppm</w:t>
      </w:r>
    </w:p>
    <w:p w14:paraId="4782F3A4">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3. No sample pretreatment or organic solvent required</w:t>
      </w:r>
    </w:p>
    <w:p w14:paraId="1C36F5F0">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4. Fast detection speed, one data is measured in 5 seconds</w:t>
      </w:r>
    </w:p>
    <w:p w14:paraId="45D7AEFD">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5. Can analyze the iron content in lubricating oil and grease samples</w:t>
      </w:r>
    </w:p>
    <w:p w14:paraId="52A39C9F">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6. Meet the needs of industrial sites and oil monitoring laboratories at the same time</w:t>
      </w:r>
    </w:p>
    <w:p w14:paraId="68CCA7D9">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7. The instrument</w:t>
      </w:r>
      <w:r>
        <w:rPr>
          <w:rFonts w:hint="default" w:ascii="Arial" w:hAnsi="Arial" w:cs="Arial"/>
          <w:sz w:val="21"/>
          <w:szCs w:val="21"/>
          <w:lang w:val="en-US" w:eastAsia="zh-CN"/>
        </w:rPr>
        <w:t xml:space="preserve"> </w:t>
      </w:r>
      <w:r>
        <w:rPr>
          <w:rFonts w:hint="default" w:ascii="Arial" w:hAnsi="Arial" w:cs="Arial"/>
          <w:sz w:val="21"/>
          <w:szCs w:val="21"/>
        </w:rPr>
        <w:t>operat</w:t>
      </w:r>
      <w:r>
        <w:rPr>
          <w:rFonts w:hint="default" w:ascii="Arial" w:hAnsi="Arial" w:cs="Arial"/>
          <w:sz w:val="21"/>
          <w:szCs w:val="21"/>
          <w:lang w:val="en-US" w:eastAsia="zh-CN"/>
        </w:rPr>
        <w:t>ion is much easily</w:t>
      </w:r>
      <w:r>
        <w:rPr>
          <w:rFonts w:hint="default" w:ascii="Arial" w:hAnsi="Arial" w:cs="Arial"/>
          <w:sz w:val="21"/>
          <w:szCs w:val="21"/>
        </w:rPr>
        <w:t>. It only takes a few minutes to master. No professional training is required.</w:t>
      </w:r>
    </w:p>
    <w:p w14:paraId="332A0916">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r>
        <w:rPr>
          <w:rFonts w:hint="default" w:ascii="Arial" w:hAnsi="Arial" w:cs="Arial"/>
          <w:sz w:val="21"/>
          <w:szCs w:val="21"/>
        </w:rPr>
        <w:t>8. Chinese and English interfaces are optional, and the WINDOWS system has data recording, query, correction and trend analysis functions</w:t>
      </w:r>
    </w:p>
    <w:p w14:paraId="20176B57">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default" w:ascii="Arial" w:hAnsi="Arial" w:cs="Arial"/>
          <w:sz w:val="32"/>
          <w:szCs w:val="32"/>
        </w:rPr>
      </w:pPr>
      <w:bookmarkStart w:id="8" w:name="_Toc18055"/>
      <w:r>
        <w:rPr>
          <w:rFonts w:hint="default" w:ascii="Arial" w:hAnsi="Arial" w:cs="Arial"/>
          <w:sz w:val="32"/>
          <w:szCs w:val="32"/>
        </w:rPr>
        <w:t>Packing List</w:t>
      </w:r>
      <w:bookmarkEnd w:id="8"/>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5906"/>
        <w:gridCol w:w="1437"/>
      </w:tblGrid>
      <w:tr w14:paraId="13DE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7BADCE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Arial" w:hAnsi="Arial" w:cs="Arial"/>
                <w:b/>
                <w:bCs/>
                <w:sz w:val="21"/>
                <w:szCs w:val="21"/>
              </w:rPr>
            </w:pPr>
            <w:r>
              <w:rPr>
                <w:rFonts w:hint="default" w:ascii="Arial" w:hAnsi="Arial" w:cs="Arial"/>
                <w:b/>
                <w:bCs/>
                <w:sz w:val="21"/>
                <w:szCs w:val="21"/>
              </w:rPr>
              <w:t>No.</w:t>
            </w:r>
          </w:p>
        </w:tc>
        <w:tc>
          <w:tcPr>
            <w:tcW w:w="3465" w:type="pct"/>
            <w:vAlign w:val="center"/>
          </w:tcPr>
          <w:p w14:paraId="6C4423B4">
            <w:pPr>
              <w:keepNext w:val="0"/>
              <w:keepLines w:val="0"/>
              <w:pageBreakBefore w:val="0"/>
              <w:widowControl w:val="0"/>
              <w:kinsoku/>
              <w:wordWrap/>
              <w:overflowPunct/>
              <w:topLinePunct w:val="0"/>
              <w:autoSpaceDE/>
              <w:autoSpaceDN/>
              <w:bidi w:val="0"/>
              <w:adjustRightInd/>
              <w:snapToGrid/>
              <w:spacing w:line="240" w:lineRule="auto"/>
              <w:ind w:left="211" w:leftChars="0" w:hanging="211" w:hangingChars="100"/>
              <w:jc w:val="center"/>
              <w:textAlignment w:val="auto"/>
              <w:outlineLvl w:val="9"/>
              <w:rPr>
                <w:rFonts w:hint="default" w:ascii="Arial" w:hAnsi="Arial" w:cs="Arial"/>
                <w:b/>
                <w:bCs/>
                <w:sz w:val="21"/>
                <w:szCs w:val="21"/>
              </w:rPr>
            </w:pPr>
            <w:r>
              <w:rPr>
                <w:rFonts w:hint="default" w:ascii="Arial" w:hAnsi="Arial" w:cs="Arial"/>
                <w:b/>
                <w:bCs/>
                <w:sz w:val="21"/>
                <w:szCs w:val="21"/>
              </w:rPr>
              <w:t>Item</w:t>
            </w:r>
          </w:p>
        </w:tc>
        <w:tc>
          <w:tcPr>
            <w:tcW w:w="843" w:type="pct"/>
            <w:vAlign w:val="center"/>
          </w:tcPr>
          <w:p w14:paraId="3448F992">
            <w:pPr>
              <w:keepNext w:val="0"/>
              <w:keepLines w:val="0"/>
              <w:pageBreakBefore w:val="0"/>
              <w:widowControl w:val="0"/>
              <w:kinsoku/>
              <w:wordWrap/>
              <w:overflowPunct/>
              <w:topLinePunct w:val="0"/>
              <w:autoSpaceDE/>
              <w:autoSpaceDN/>
              <w:bidi w:val="0"/>
              <w:adjustRightInd/>
              <w:snapToGrid/>
              <w:spacing w:line="240" w:lineRule="auto"/>
              <w:ind w:left="211" w:leftChars="0" w:hanging="211" w:hangingChars="100"/>
              <w:jc w:val="center"/>
              <w:textAlignment w:val="auto"/>
              <w:outlineLvl w:val="9"/>
              <w:rPr>
                <w:rFonts w:hint="default" w:ascii="Arial" w:hAnsi="Arial" w:cs="Arial"/>
                <w:b/>
                <w:bCs/>
                <w:sz w:val="21"/>
                <w:szCs w:val="21"/>
              </w:rPr>
            </w:pPr>
            <w:r>
              <w:rPr>
                <w:rFonts w:hint="default" w:ascii="Arial" w:hAnsi="Arial" w:cs="Arial"/>
                <w:b/>
                <w:bCs/>
                <w:sz w:val="21"/>
                <w:szCs w:val="21"/>
              </w:rPr>
              <w:t>Qty</w:t>
            </w:r>
          </w:p>
        </w:tc>
      </w:tr>
      <w:tr w14:paraId="567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2BA9C04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1</w:t>
            </w:r>
          </w:p>
        </w:tc>
        <w:tc>
          <w:tcPr>
            <w:tcW w:w="3465" w:type="pct"/>
            <w:vAlign w:val="center"/>
          </w:tcPr>
          <w:p w14:paraId="5762FFC8">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Portable ferromagnetic wear debris measuring instrument host</w:t>
            </w:r>
          </w:p>
        </w:tc>
        <w:tc>
          <w:tcPr>
            <w:tcW w:w="843" w:type="pct"/>
            <w:vAlign w:val="center"/>
          </w:tcPr>
          <w:p w14:paraId="1F7D9E78">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1</w:t>
            </w:r>
          </w:p>
        </w:tc>
      </w:tr>
      <w:tr w14:paraId="61E4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2909DE8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2</w:t>
            </w:r>
          </w:p>
        </w:tc>
        <w:tc>
          <w:tcPr>
            <w:tcW w:w="3465" w:type="pct"/>
            <w:vAlign w:val="center"/>
          </w:tcPr>
          <w:p w14:paraId="3D876926">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lang w:val="en-US" w:eastAsia="zh-CN"/>
              </w:rPr>
            </w:pPr>
            <w:r>
              <w:rPr>
                <w:rFonts w:hint="default" w:ascii="Arial" w:hAnsi="Arial" w:cs="Arial"/>
                <w:sz w:val="21"/>
                <w:szCs w:val="21"/>
              </w:rPr>
              <w:t>128G USB flash drive</w:t>
            </w:r>
            <w:r>
              <w:rPr>
                <w:rFonts w:hint="eastAsia" w:ascii="Arial" w:hAnsi="Arial" w:cs="Arial"/>
                <w:sz w:val="21"/>
                <w:szCs w:val="21"/>
                <w:lang w:val="en-US" w:eastAsia="zh-CN"/>
              </w:rPr>
              <w:t>(</w:t>
            </w:r>
            <w:r>
              <w:rPr>
                <w:rFonts w:hint="default" w:ascii="Arial" w:hAnsi="Arial" w:cs="Arial"/>
                <w:sz w:val="21"/>
                <w:szCs w:val="21"/>
              </w:rPr>
              <w:t>Data export and storage, etc.</w:t>
            </w:r>
            <w:r>
              <w:rPr>
                <w:rFonts w:hint="eastAsia" w:ascii="Arial" w:hAnsi="Arial" w:cs="Arial"/>
                <w:sz w:val="21"/>
                <w:szCs w:val="21"/>
                <w:lang w:val="en-US" w:eastAsia="zh-CN"/>
              </w:rPr>
              <w:t>)</w:t>
            </w:r>
          </w:p>
        </w:tc>
        <w:tc>
          <w:tcPr>
            <w:tcW w:w="843" w:type="pct"/>
            <w:vAlign w:val="center"/>
          </w:tcPr>
          <w:p w14:paraId="0FB6B543">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1</w:t>
            </w:r>
          </w:p>
        </w:tc>
      </w:tr>
      <w:tr w14:paraId="226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7810583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3</w:t>
            </w:r>
          </w:p>
        </w:tc>
        <w:tc>
          <w:tcPr>
            <w:tcW w:w="3465" w:type="pct"/>
            <w:vAlign w:val="center"/>
          </w:tcPr>
          <w:p w14:paraId="2D3A3F08">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lang w:val="en-US" w:eastAsia="zh-CN"/>
              </w:rPr>
            </w:pPr>
            <w:r>
              <w:rPr>
                <w:rFonts w:hint="default" w:ascii="Arial" w:hAnsi="Arial" w:cs="Arial"/>
                <w:sz w:val="21"/>
                <w:szCs w:val="21"/>
              </w:rPr>
              <w:t>Glass 2mL sample bottle</w:t>
            </w:r>
            <w:r>
              <w:rPr>
                <w:rFonts w:hint="eastAsia" w:ascii="Arial" w:hAnsi="Arial" w:cs="Arial"/>
                <w:sz w:val="21"/>
                <w:szCs w:val="21"/>
                <w:lang w:val="en-US" w:eastAsia="zh-CN"/>
              </w:rPr>
              <w:t>(</w:t>
            </w:r>
            <w:r>
              <w:rPr>
                <w:rFonts w:hint="default" w:ascii="Arial" w:hAnsi="Arial" w:cs="Arial"/>
                <w:sz w:val="21"/>
                <w:szCs w:val="21"/>
              </w:rPr>
              <w:t>Measuring oil pipe</w:t>
            </w:r>
            <w:r>
              <w:rPr>
                <w:rFonts w:hint="eastAsia" w:ascii="Arial" w:hAnsi="Arial" w:cs="Arial"/>
                <w:sz w:val="21"/>
                <w:szCs w:val="21"/>
                <w:lang w:val="en-US" w:eastAsia="zh-CN"/>
              </w:rPr>
              <w:t>)</w:t>
            </w:r>
          </w:p>
        </w:tc>
        <w:tc>
          <w:tcPr>
            <w:tcW w:w="843" w:type="pct"/>
            <w:vAlign w:val="center"/>
          </w:tcPr>
          <w:p w14:paraId="4D55819B">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50</w:t>
            </w:r>
          </w:p>
        </w:tc>
      </w:tr>
      <w:tr w14:paraId="267F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18C90CC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4</w:t>
            </w:r>
          </w:p>
        </w:tc>
        <w:tc>
          <w:tcPr>
            <w:tcW w:w="3465" w:type="pct"/>
            <w:vAlign w:val="center"/>
          </w:tcPr>
          <w:p w14:paraId="2CE3E22C">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lang w:val="en-US" w:eastAsia="zh-CN"/>
              </w:rPr>
            </w:pPr>
            <w:r>
              <w:rPr>
                <w:rFonts w:hint="default" w:ascii="Arial" w:hAnsi="Arial" w:cs="Arial"/>
                <w:sz w:val="21"/>
                <w:szCs w:val="21"/>
              </w:rPr>
              <w:t>Pasteur sampling pipette</w:t>
            </w:r>
            <w:r>
              <w:rPr>
                <w:rFonts w:hint="eastAsia" w:ascii="Arial" w:hAnsi="Arial" w:cs="Arial"/>
                <w:sz w:val="21"/>
                <w:szCs w:val="21"/>
                <w:lang w:val="en-US" w:eastAsia="zh-CN"/>
              </w:rPr>
              <w:t>(</w:t>
            </w:r>
            <w:r>
              <w:rPr>
                <w:rFonts w:hint="default" w:ascii="Arial" w:hAnsi="Arial" w:cs="Arial"/>
                <w:sz w:val="21"/>
                <w:szCs w:val="21"/>
              </w:rPr>
              <w:t>Sampling injection measurement oil pipe</w:t>
            </w:r>
            <w:r>
              <w:rPr>
                <w:rFonts w:hint="eastAsia" w:ascii="Arial" w:hAnsi="Arial" w:cs="Arial"/>
                <w:sz w:val="21"/>
                <w:szCs w:val="21"/>
                <w:lang w:val="en-US" w:eastAsia="zh-CN"/>
              </w:rPr>
              <w:t>)</w:t>
            </w:r>
          </w:p>
        </w:tc>
        <w:tc>
          <w:tcPr>
            <w:tcW w:w="843" w:type="pct"/>
            <w:vAlign w:val="center"/>
          </w:tcPr>
          <w:p w14:paraId="5BFF2552">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100</w:t>
            </w:r>
          </w:p>
        </w:tc>
      </w:tr>
      <w:tr w14:paraId="713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5137EF9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5</w:t>
            </w:r>
          </w:p>
        </w:tc>
        <w:tc>
          <w:tcPr>
            <w:tcW w:w="3465" w:type="pct"/>
            <w:vAlign w:val="center"/>
          </w:tcPr>
          <w:p w14:paraId="31A5763C">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lang w:val="en-US" w:eastAsia="zh-CN"/>
              </w:rPr>
            </w:pPr>
            <w:r>
              <w:rPr>
                <w:rFonts w:hint="default" w:ascii="Arial" w:hAnsi="Arial" w:cs="Arial"/>
                <w:sz w:val="21"/>
                <w:szCs w:val="21"/>
              </w:rPr>
              <w:t>No. 0 standard</w:t>
            </w:r>
            <w:r>
              <w:rPr>
                <w:rFonts w:hint="eastAsia" w:ascii="Arial" w:hAnsi="Arial" w:cs="Arial"/>
                <w:sz w:val="21"/>
                <w:szCs w:val="21"/>
                <w:lang w:val="en-US" w:eastAsia="zh-CN"/>
              </w:rPr>
              <w:t>(</w:t>
            </w:r>
            <w:r>
              <w:rPr>
                <w:rFonts w:hint="default" w:ascii="Arial" w:hAnsi="Arial" w:cs="Arial"/>
                <w:sz w:val="21"/>
                <w:szCs w:val="21"/>
              </w:rPr>
              <w:t>0 content standard sample</w:t>
            </w:r>
            <w:r>
              <w:rPr>
                <w:rFonts w:hint="eastAsia" w:ascii="Arial" w:hAnsi="Arial" w:cs="Arial"/>
                <w:sz w:val="21"/>
                <w:szCs w:val="21"/>
                <w:lang w:val="en-US" w:eastAsia="zh-CN"/>
              </w:rPr>
              <w:t>)</w:t>
            </w:r>
          </w:p>
        </w:tc>
        <w:tc>
          <w:tcPr>
            <w:tcW w:w="843" w:type="pct"/>
            <w:vAlign w:val="center"/>
          </w:tcPr>
          <w:p w14:paraId="6AD3FE07">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1</w:t>
            </w:r>
          </w:p>
        </w:tc>
      </w:tr>
      <w:tr w14:paraId="5168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204E3C8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6</w:t>
            </w:r>
          </w:p>
        </w:tc>
        <w:tc>
          <w:tcPr>
            <w:tcW w:w="3465" w:type="pct"/>
            <w:vAlign w:val="center"/>
          </w:tcPr>
          <w:p w14:paraId="3481C39D">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lang w:val="en-US" w:eastAsia="zh-CN"/>
              </w:rPr>
            </w:pPr>
            <w:r>
              <w:rPr>
                <w:rFonts w:hint="default" w:ascii="Arial" w:hAnsi="Arial" w:cs="Arial"/>
                <w:sz w:val="21"/>
                <w:szCs w:val="21"/>
              </w:rPr>
              <w:t>1050 Standard</w:t>
            </w:r>
            <w:r>
              <w:rPr>
                <w:rFonts w:hint="eastAsia" w:ascii="Arial" w:hAnsi="Arial" w:cs="Arial"/>
                <w:sz w:val="21"/>
                <w:szCs w:val="21"/>
                <w:lang w:val="en-US" w:eastAsia="zh-CN"/>
              </w:rPr>
              <w:t>(</w:t>
            </w:r>
            <w:r>
              <w:rPr>
                <w:rFonts w:hint="default" w:ascii="Arial" w:hAnsi="Arial" w:cs="Arial"/>
                <w:sz w:val="21"/>
                <w:szCs w:val="21"/>
              </w:rPr>
              <w:t>1050ug/ml standard sample</w:t>
            </w:r>
            <w:r>
              <w:rPr>
                <w:rFonts w:hint="eastAsia" w:ascii="Arial" w:hAnsi="Arial" w:cs="Arial"/>
                <w:sz w:val="21"/>
                <w:szCs w:val="21"/>
                <w:lang w:val="en-US" w:eastAsia="zh-CN"/>
              </w:rPr>
              <w:t>)</w:t>
            </w:r>
          </w:p>
        </w:tc>
        <w:tc>
          <w:tcPr>
            <w:tcW w:w="843" w:type="pct"/>
            <w:vAlign w:val="center"/>
          </w:tcPr>
          <w:p w14:paraId="23A5A58B">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1</w:t>
            </w:r>
          </w:p>
        </w:tc>
      </w:tr>
      <w:tr w14:paraId="66C5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vAlign w:val="center"/>
          </w:tcPr>
          <w:p w14:paraId="3851AA7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b/>
                <w:sz w:val="21"/>
                <w:szCs w:val="21"/>
                <w:lang w:val="en-US"/>
              </w:rPr>
            </w:pPr>
            <w:r>
              <w:rPr>
                <w:rFonts w:hint="default" w:ascii="Arial" w:hAnsi="Arial" w:eastAsia="宋体" w:cs="Arial"/>
                <w:b/>
                <w:sz w:val="21"/>
                <w:szCs w:val="21"/>
                <w:lang w:val="en-US"/>
              </w:rPr>
              <w:t>7</w:t>
            </w:r>
          </w:p>
        </w:tc>
        <w:tc>
          <w:tcPr>
            <w:tcW w:w="3465" w:type="pct"/>
            <w:vAlign w:val="center"/>
          </w:tcPr>
          <w:p w14:paraId="5AF70071">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lang w:val="en-US" w:eastAsia="zh-CN"/>
              </w:rPr>
            </w:pPr>
            <w:r>
              <w:rPr>
                <w:rFonts w:hint="default" w:ascii="Arial" w:hAnsi="Arial" w:cs="Arial"/>
                <w:sz w:val="21"/>
                <w:szCs w:val="21"/>
              </w:rPr>
              <w:t>Charger</w:t>
            </w:r>
            <w:r>
              <w:rPr>
                <w:rFonts w:hint="eastAsia" w:ascii="Arial" w:hAnsi="Arial" w:cs="Arial"/>
                <w:sz w:val="21"/>
                <w:szCs w:val="21"/>
                <w:lang w:val="en-US" w:eastAsia="zh-CN"/>
              </w:rPr>
              <w:t>(</w:t>
            </w:r>
            <w:r>
              <w:rPr>
                <w:rFonts w:hint="default" w:ascii="Arial" w:hAnsi="Arial" w:cs="Arial"/>
                <w:sz w:val="21"/>
                <w:szCs w:val="21"/>
              </w:rPr>
              <w:t>12V battery pack charging adapter</w:t>
            </w:r>
            <w:r>
              <w:rPr>
                <w:rFonts w:hint="eastAsia" w:ascii="Arial" w:hAnsi="Arial" w:cs="Arial"/>
                <w:sz w:val="21"/>
                <w:szCs w:val="21"/>
                <w:lang w:val="en-US" w:eastAsia="zh-CN"/>
              </w:rPr>
              <w:t>)</w:t>
            </w:r>
          </w:p>
        </w:tc>
        <w:tc>
          <w:tcPr>
            <w:tcW w:w="843" w:type="pct"/>
            <w:vAlign w:val="center"/>
          </w:tcPr>
          <w:p w14:paraId="1C1A6799">
            <w:pPr>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1</w:t>
            </w:r>
          </w:p>
        </w:tc>
      </w:tr>
    </w:tbl>
    <w:p w14:paraId="0ED82C4A">
      <w:pPr>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1"/>
          <w:szCs w:val="21"/>
        </w:rPr>
      </w:pPr>
    </w:p>
    <w:p w14:paraId="6F894B9B"/>
    <w:p w14:paraId="5676EE25"/>
    <w:sectPr>
      <w:headerReference r:id="rId14" w:type="default"/>
      <w:footerReference r:id="rId1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Bodoni MT Poster Compressed">
    <w:panose1 w:val="02070706080601050204"/>
    <w:charset w:val="00"/>
    <w:family w:val="auto"/>
    <w:pitch w:val="default"/>
    <w:sig w:usb0="00000003" w:usb1="00000000" w:usb2="00000000" w:usb3="00000000" w:csb0="20000011" w:csb1="00000000"/>
  </w:font>
  <w:font w:name="Bauhaus 93">
    <w:panose1 w:val="04030905020B02020C02"/>
    <w:charset w:val="00"/>
    <w:family w:val="auto"/>
    <w:pitch w:val="default"/>
    <w:sig w:usb0="00000003" w:usb1="00000000" w:usb2="00000000" w:usb3="00000000" w:csb0="20000001" w:csb1="00000000"/>
  </w:font>
  <w:font w:name="Yu Gothic Light">
    <w:panose1 w:val="020B0300000000000000"/>
    <w:charset w:val="80"/>
    <w:family w:val="auto"/>
    <w:pitch w:val="default"/>
    <w:sig w:usb0="E00002FF" w:usb1="2AC7FDFF" w:usb2="00000016" w:usb3="00000000" w:csb0="2002009F"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95FFF">
    <w:pPr>
      <w:pStyle w:val="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BF93">
    <w:pPr>
      <w:pStyle w:val="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53FB">
    <w:pPr>
      <w:pStyle w:val="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50CB">
    <w:pPr>
      <w:pStyle w:val="6"/>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B873">
    <w:pPr>
      <w:pStyle w:val="6"/>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01A71">
    <w:pPr>
      <w:pStyle w:val="6"/>
      <w:ind w:left="2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2907">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0F34E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B0F34E4">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97F9">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4"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12AF">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5"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20CE">
    <w:pPr>
      <w:pStyle w:val="7"/>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2" name="图片 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7EB1">
    <w:pPr>
      <w:pStyle w:val="7"/>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eastAsia="隶书"/>
        <w:lang w:eastAsia="zh-CN"/>
      </w:rPr>
      <w:drawing>
        <wp:inline distT="0" distB="0" distL="114300" distR="114300">
          <wp:extent cx="5266690" cy="289560"/>
          <wp:effectExtent l="0" t="0" r="10160" b="15240"/>
          <wp:docPr id="7"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10F3">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left"/>
    </w:pPr>
    <w:r>
      <w:rPr>
        <w:rFonts w:hint="eastAsia" w:eastAsia="隶书"/>
        <w:lang w:eastAsia="zh-CN"/>
      </w:rPr>
      <w:drawing>
        <wp:inline distT="0" distB="0" distL="114300" distR="114300">
          <wp:extent cx="5266690" cy="289560"/>
          <wp:effectExtent l="0" t="0" r="10160" b="15240"/>
          <wp:docPr id="6" name="图片 5"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830E">
    <w:pPr>
      <w:pStyle w:val="7"/>
      <w:pBdr>
        <w:bottom w:val="none" w:color="auto" w:sz="0" w:space="1"/>
      </w:pBdr>
      <w:tabs>
        <w:tab w:val="left" w:pos="2917"/>
        <w:tab w:val="clear" w:pos="8306"/>
      </w:tabs>
      <w:jc w:val="both"/>
    </w:pPr>
    <w:r>
      <w:rPr>
        <w:rFonts w:hint="eastAsia" w:eastAsia="隶书"/>
        <w:lang w:eastAsia="zh-CN"/>
      </w:rPr>
      <w:drawing>
        <wp:inline distT="0" distB="0" distL="114300" distR="114300">
          <wp:extent cx="5266690" cy="289560"/>
          <wp:effectExtent l="0" t="0" r="10160" b="15240"/>
          <wp:docPr id="8" name="图片 5"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E0187"/>
    <w:multiLevelType w:val="singleLevel"/>
    <w:tmpl w:val="A2BE0187"/>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zYzRkODQyNDc4YTc4ZTEwZmIwMDE5NDE1ODQ0YjYifQ=="/>
  </w:docVars>
  <w:rsids>
    <w:rsidRoot w:val="0042285F"/>
    <w:rsid w:val="00002120"/>
    <w:rsid w:val="000922F2"/>
    <w:rsid w:val="000A4C78"/>
    <w:rsid w:val="000C2D5D"/>
    <w:rsid w:val="000D1B88"/>
    <w:rsid w:val="000D3104"/>
    <w:rsid w:val="000D6C51"/>
    <w:rsid w:val="000E0552"/>
    <w:rsid w:val="000F0279"/>
    <w:rsid w:val="00104214"/>
    <w:rsid w:val="00117013"/>
    <w:rsid w:val="00131BD5"/>
    <w:rsid w:val="001423A6"/>
    <w:rsid w:val="00142465"/>
    <w:rsid w:val="00157C05"/>
    <w:rsid w:val="0018283F"/>
    <w:rsid w:val="001C2C3F"/>
    <w:rsid w:val="001E124D"/>
    <w:rsid w:val="001E501B"/>
    <w:rsid w:val="002139C9"/>
    <w:rsid w:val="0023223E"/>
    <w:rsid w:val="00252AAE"/>
    <w:rsid w:val="00266C10"/>
    <w:rsid w:val="00287865"/>
    <w:rsid w:val="002A069D"/>
    <w:rsid w:val="002A20F5"/>
    <w:rsid w:val="002B4A90"/>
    <w:rsid w:val="002D33EC"/>
    <w:rsid w:val="002E5C4F"/>
    <w:rsid w:val="002F0AA6"/>
    <w:rsid w:val="002F5425"/>
    <w:rsid w:val="00311459"/>
    <w:rsid w:val="003251B1"/>
    <w:rsid w:val="00375D66"/>
    <w:rsid w:val="003A0EAC"/>
    <w:rsid w:val="00401A93"/>
    <w:rsid w:val="0042285F"/>
    <w:rsid w:val="004435B9"/>
    <w:rsid w:val="004447B1"/>
    <w:rsid w:val="0046029A"/>
    <w:rsid w:val="00465EF8"/>
    <w:rsid w:val="004A1D55"/>
    <w:rsid w:val="004B70DF"/>
    <w:rsid w:val="004E3F09"/>
    <w:rsid w:val="0051004A"/>
    <w:rsid w:val="00520638"/>
    <w:rsid w:val="00593B5E"/>
    <w:rsid w:val="005B1EB9"/>
    <w:rsid w:val="005F4A3A"/>
    <w:rsid w:val="00631212"/>
    <w:rsid w:val="006669E3"/>
    <w:rsid w:val="0068041F"/>
    <w:rsid w:val="006A699B"/>
    <w:rsid w:val="006D26E3"/>
    <w:rsid w:val="006F3B2E"/>
    <w:rsid w:val="0072605D"/>
    <w:rsid w:val="00727F75"/>
    <w:rsid w:val="00746963"/>
    <w:rsid w:val="007472FB"/>
    <w:rsid w:val="00757854"/>
    <w:rsid w:val="007662D1"/>
    <w:rsid w:val="00783E8E"/>
    <w:rsid w:val="007914DC"/>
    <w:rsid w:val="007B2BA2"/>
    <w:rsid w:val="00831E06"/>
    <w:rsid w:val="008510A6"/>
    <w:rsid w:val="008631DF"/>
    <w:rsid w:val="008C0E8C"/>
    <w:rsid w:val="008D5474"/>
    <w:rsid w:val="009107A5"/>
    <w:rsid w:val="0096682B"/>
    <w:rsid w:val="009942BE"/>
    <w:rsid w:val="00996EA8"/>
    <w:rsid w:val="009D3C26"/>
    <w:rsid w:val="00A10599"/>
    <w:rsid w:val="00A1369C"/>
    <w:rsid w:val="00A32E5C"/>
    <w:rsid w:val="00A36517"/>
    <w:rsid w:val="00A661B8"/>
    <w:rsid w:val="00AC21F2"/>
    <w:rsid w:val="00AD60A4"/>
    <w:rsid w:val="00B0080F"/>
    <w:rsid w:val="00B413E1"/>
    <w:rsid w:val="00B567F1"/>
    <w:rsid w:val="00B72409"/>
    <w:rsid w:val="00BA7B42"/>
    <w:rsid w:val="00BB3590"/>
    <w:rsid w:val="00BC4E70"/>
    <w:rsid w:val="00BD2EB5"/>
    <w:rsid w:val="00BE5896"/>
    <w:rsid w:val="00BE5FEF"/>
    <w:rsid w:val="00C04888"/>
    <w:rsid w:val="00C05246"/>
    <w:rsid w:val="00C07F2A"/>
    <w:rsid w:val="00C306EB"/>
    <w:rsid w:val="00C358D3"/>
    <w:rsid w:val="00CD10B2"/>
    <w:rsid w:val="00D16B67"/>
    <w:rsid w:val="00D22415"/>
    <w:rsid w:val="00D33E2E"/>
    <w:rsid w:val="00D408E7"/>
    <w:rsid w:val="00D9199A"/>
    <w:rsid w:val="00D95765"/>
    <w:rsid w:val="00DA091A"/>
    <w:rsid w:val="00DA26DC"/>
    <w:rsid w:val="00DB312A"/>
    <w:rsid w:val="00DE5943"/>
    <w:rsid w:val="00DE709C"/>
    <w:rsid w:val="00E02D5E"/>
    <w:rsid w:val="00E07552"/>
    <w:rsid w:val="00E317A6"/>
    <w:rsid w:val="00E535D3"/>
    <w:rsid w:val="00E9089C"/>
    <w:rsid w:val="00E942B8"/>
    <w:rsid w:val="00EA2C9A"/>
    <w:rsid w:val="00EC4ED7"/>
    <w:rsid w:val="00EE23AA"/>
    <w:rsid w:val="00F26124"/>
    <w:rsid w:val="00F263BA"/>
    <w:rsid w:val="00F427F4"/>
    <w:rsid w:val="00FC3A71"/>
    <w:rsid w:val="00FC5E90"/>
    <w:rsid w:val="0FBC466A"/>
    <w:rsid w:val="1C78690B"/>
    <w:rsid w:val="22C22FE0"/>
    <w:rsid w:val="2F874DC0"/>
    <w:rsid w:val="3CE05AFA"/>
    <w:rsid w:val="48AF5D51"/>
    <w:rsid w:val="4D5608DE"/>
    <w:rsid w:val="6BDF2B60"/>
    <w:rsid w:val="6D055594"/>
    <w:rsid w:val="7C6F7279"/>
    <w:rsid w:val="7DB3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rPr>
  </w:style>
  <w:style w:type="paragraph" w:styleId="3">
    <w:name w:val="heading 2"/>
    <w:basedOn w:val="1"/>
    <w:next w:val="1"/>
    <w:link w:val="1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unhideWhenUsed/>
    <w:uiPriority w:val="39"/>
  </w:style>
  <w:style w:type="paragraph" w:styleId="9">
    <w:name w:val="Title"/>
    <w:basedOn w:val="1"/>
    <w:next w:val="1"/>
    <w:link w:val="17"/>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autoRedefine/>
    <w:qFormat/>
    <w:uiPriority w:val="99"/>
    <w:rPr>
      <w:sz w:val="18"/>
      <w:szCs w:val="18"/>
    </w:rPr>
  </w:style>
  <w:style w:type="character" w:customStyle="1" w:styleId="14">
    <w:name w:val="页脚 字符"/>
    <w:basedOn w:val="12"/>
    <w:link w:val="6"/>
    <w:autoRedefine/>
    <w:qFormat/>
    <w:uiPriority w:val="99"/>
    <w:rPr>
      <w:sz w:val="18"/>
      <w:szCs w:val="18"/>
    </w:rPr>
  </w:style>
  <w:style w:type="character" w:customStyle="1" w:styleId="15">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16">
    <w:name w:val="标题 3 字符"/>
    <w:basedOn w:val="12"/>
    <w:link w:val="4"/>
    <w:qFormat/>
    <w:uiPriority w:val="9"/>
    <w:rPr>
      <w:rFonts w:ascii="Calibri" w:hAnsi="Calibri" w:eastAsia="宋体" w:cs="Times New Roman"/>
      <w:b/>
      <w:bCs/>
      <w:sz w:val="32"/>
      <w:szCs w:val="32"/>
    </w:rPr>
  </w:style>
  <w:style w:type="character" w:customStyle="1" w:styleId="17">
    <w:name w:val="标题 字符"/>
    <w:basedOn w:val="12"/>
    <w:link w:val="9"/>
    <w:autoRedefine/>
    <w:qFormat/>
    <w:uiPriority w:val="10"/>
    <w:rPr>
      <w:rFonts w:asciiTheme="majorHAnsi" w:hAnsiTheme="majorHAnsi" w:eastAsiaTheme="majorEastAsia" w:cstheme="majorBidi"/>
      <w:b/>
      <w:bCs/>
      <w:sz w:val="32"/>
      <w:szCs w:val="32"/>
    </w:rPr>
  </w:style>
  <w:style w:type="paragraph" w:styleId="18">
    <w:name w:val="List Paragraph"/>
    <w:basedOn w:val="1"/>
    <w:autoRedefine/>
    <w:qFormat/>
    <w:uiPriority w:val="34"/>
    <w:pPr>
      <w:ind w:firstLine="420" w:firstLineChars="200"/>
    </w:pPr>
  </w:style>
  <w:style w:type="character" w:customStyle="1" w:styleId="19">
    <w:name w:val="标题 4 字符"/>
    <w:basedOn w:val="12"/>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640</Words>
  <Characters>3608</Characters>
  <Lines>8</Lines>
  <Paragraphs>2</Paragraphs>
  <TotalTime>0</TotalTime>
  <ScaleCrop>false</ScaleCrop>
  <LinksUpToDate>false</LinksUpToDate>
  <CharactersWithSpaces>4159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2023-05-09T04:08:00Z</dcterms:created>
  <dc:creator>LI</dc:creator>
  <cp:lastModifiedBy>曹文娅</cp:lastModifiedBy>
  <dcterms:modified xsi:type="dcterms:W3CDTF">2024-10-30T07:11:02Z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979AD3F0A5234033B959475963E856BB_13</vt:lpwstr>
  </property>
</Properties>
</file>